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4B" w:rsidRPr="00DA414B" w:rsidRDefault="00DA414B" w:rsidP="00DA414B">
      <w:pPr>
        <w:pStyle w:val="Cmsor1"/>
        <w:rPr>
          <w:sz w:val="24"/>
          <w:szCs w:val="24"/>
        </w:rPr>
      </w:pPr>
      <w:r w:rsidRPr="00DA414B">
        <w:rPr>
          <w:sz w:val="24"/>
          <w:szCs w:val="24"/>
        </w:rPr>
        <w:t>Csongrád Város Polgármesterétől</w:t>
      </w:r>
      <w:r w:rsidRPr="00DA414B">
        <w:rPr>
          <w:sz w:val="24"/>
          <w:szCs w:val="24"/>
        </w:rPr>
        <w:tab/>
      </w:r>
      <w:r w:rsidRPr="00DA414B">
        <w:rPr>
          <w:sz w:val="24"/>
          <w:szCs w:val="24"/>
        </w:rPr>
        <w:tab/>
      </w:r>
      <w:r w:rsidRPr="00DA414B">
        <w:rPr>
          <w:sz w:val="24"/>
          <w:szCs w:val="24"/>
        </w:rPr>
        <w:tab/>
      </w:r>
      <w:r w:rsidRPr="00DA414B">
        <w:rPr>
          <w:sz w:val="24"/>
          <w:szCs w:val="24"/>
        </w:rPr>
        <w:tab/>
      </w:r>
      <w:r w:rsidRPr="00DA414B">
        <w:rPr>
          <w:sz w:val="24"/>
          <w:szCs w:val="24"/>
        </w:rPr>
        <w:tab/>
      </w:r>
      <w:r w:rsidRPr="00DA414B">
        <w:rPr>
          <w:sz w:val="24"/>
          <w:szCs w:val="24"/>
        </w:rPr>
        <w:tab/>
      </w:r>
      <w:r w:rsidRPr="00DA414B">
        <w:rPr>
          <w:sz w:val="24"/>
          <w:szCs w:val="24"/>
        </w:rPr>
        <w:tab/>
      </w: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14B">
        <w:rPr>
          <w:rFonts w:ascii="Times New Roman" w:hAnsi="Times New Roman"/>
          <w:sz w:val="24"/>
          <w:szCs w:val="24"/>
        </w:rPr>
        <w:t>Száma: FJL/243-</w:t>
      </w:r>
      <w:r>
        <w:rPr>
          <w:rFonts w:ascii="Times New Roman" w:hAnsi="Times New Roman"/>
          <w:sz w:val="24"/>
          <w:szCs w:val="24"/>
        </w:rPr>
        <w:t>2</w:t>
      </w:r>
      <w:r w:rsidRPr="00DA414B">
        <w:rPr>
          <w:rFonts w:ascii="Times New Roman" w:hAnsi="Times New Roman"/>
          <w:sz w:val="24"/>
          <w:szCs w:val="24"/>
        </w:rPr>
        <w:t>/2019.</w:t>
      </w:r>
    </w:p>
    <w:p w:rsidR="00DA414B" w:rsidRPr="00DA414B" w:rsidRDefault="00DA414B" w:rsidP="00DA414B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 w:rsidRPr="00DA414B">
        <w:rPr>
          <w:sz w:val="24"/>
          <w:szCs w:val="24"/>
        </w:rPr>
        <w:t>Előadó: Dr. Mezey Szimonetta</w:t>
      </w:r>
    </w:p>
    <w:p w:rsidR="00DA414B" w:rsidRPr="00DA414B" w:rsidRDefault="00DA414B" w:rsidP="00DA414B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DA414B" w:rsidRPr="00DA414B" w:rsidRDefault="00DA414B" w:rsidP="00DA414B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DA414B" w:rsidRPr="00DA414B" w:rsidRDefault="00DA414B" w:rsidP="00DA414B">
      <w:pPr>
        <w:pStyle w:val="Cmsor2"/>
      </w:pPr>
      <w:r w:rsidRPr="00DA414B">
        <w:t>E L Ő T E R J E S Z T É S</w:t>
      </w:r>
    </w:p>
    <w:p w:rsidR="00DA414B" w:rsidRPr="00DA414B" w:rsidRDefault="00DA414B" w:rsidP="00DA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14B">
        <w:rPr>
          <w:rFonts w:ascii="Times New Roman" w:hAnsi="Times New Roman"/>
          <w:b/>
          <w:sz w:val="24"/>
          <w:szCs w:val="24"/>
        </w:rPr>
        <w:t>Csongrád Város Önkormányzata Képviselő-testületének</w:t>
      </w:r>
    </w:p>
    <w:p w:rsidR="00DA414B" w:rsidRPr="00DA414B" w:rsidRDefault="00DA414B" w:rsidP="00DA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14B">
        <w:rPr>
          <w:rFonts w:ascii="Times New Roman" w:hAnsi="Times New Roman"/>
          <w:b/>
          <w:sz w:val="24"/>
          <w:szCs w:val="24"/>
        </w:rPr>
        <w:t>Ügyrendi, Jogi – és Összeférhetetlenségi Bizottsága 2019. szeptember 24-ei ülésére</w:t>
      </w: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414B">
        <w:rPr>
          <w:rFonts w:ascii="Times New Roman" w:hAnsi="Times New Roman"/>
          <w:i/>
          <w:iCs/>
          <w:sz w:val="24"/>
          <w:szCs w:val="24"/>
          <w:u w:val="single"/>
        </w:rPr>
        <w:t>Tárgy:</w:t>
      </w:r>
      <w:r w:rsidRPr="00DA41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414B">
        <w:rPr>
          <w:rFonts w:ascii="Times New Roman" w:hAnsi="Times New Roman"/>
          <w:iCs/>
          <w:sz w:val="24"/>
          <w:szCs w:val="24"/>
        </w:rPr>
        <w:t>Beszámoló a Csongrádi Vendégváró Szolgáltató Szociális Szövetkezet működéséről</w:t>
      </w: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414B">
        <w:rPr>
          <w:rFonts w:ascii="Times New Roman" w:hAnsi="Times New Roman"/>
          <w:b/>
          <w:sz w:val="24"/>
          <w:szCs w:val="24"/>
        </w:rPr>
        <w:t>Tisztelt Bizottság!</w:t>
      </w: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414B" w:rsidRPr="00DA414B" w:rsidRDefault="00DA414B" w:rsidP="00DA414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 w:rsidRPr="00DA414B">
        <w:rPr>
          <w:rFonts w:ascii="Times New Roman" w:hAnsi="Times New Roman"/>
          <w:sz w:val="24"/>
          <w:szCs w:val="24"/>
          <w:lang w:val="hu-HU"/>
        </w:rPr>
        <w:t>A Csongrádi Vendégváró Szolgáltató Szociális Szövetkezet elkészítette a működéséről szóló beszámolót, melyről tájékoztatom T. Bizottságot.</w:t>
      </w:r>
    </w:p>
    <w:p w:rsidR="00DA414B" w:rsidRPr="00DA414B" w:rsidRDefault="00DA414B" w:rsidP="00DA414B">
      <w:pPr>
        <w:pStyle w:val="Szvegtrzs"/>
        <w:rPr>
          <w:szCs w:val="24"/>
        </w:rPr>
      </w:pPr>
    </w:p>
    <w:p w:rsidR="00DA414B" w:rsidRPr="00DA414B" w:rsidRDefault="00DA414B" w:rsidP="00DA414B">
      <w:pPr>
        <w:pStyle w:val="Szvegtrzs"/>
        <w:rPr>
          <w:szCs w:val="24"/>
        </w:rPr>
      </w:pPr>
      <w:r w:rsidRPr="00DA414B">
        <w:rPr>
          <w:szCs w:val="24"/>
        </w:rPr>
        <w:t>Kérem az előterjesztés megvitatását, és a határozati javaslat elfogadását.</w:t>
      </w:r>
    </w:p>
    <w:p w:rsidR="00DA414B" w:rsidRPr="00DA414B" w:rsidRDefault="00DA414B" w:rsidP="00DA414B">
      <w:pPr>
        <w:pStyle w:val="Cmsor2"/>
      </w:pP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14B" w:rsidRPr="00DA414B" w:rsidRDefault="00DA414B" w:rsidP="00DA414B">
      <w:pPr>
        <w:pStyle w:val="Cmsor2"/>
      </w:pPr>
      <w:r w:rsidRPr="00DA414B">
        <w:t>HATÁROZATI JAVASLAT</w:t>
      </w: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A414B">
        <w:rPr>
          <w:rFonts w:ascii="Times New Roman" w:hAnsi="Times New Roman"/>
          <w:sz w:val="24"/>
          <w:szCs w:val="24"/>
        </w:rPr>
        <w:t>Csongrád Város Önkormányzata Képviselő-testületének Ügyrendi, Jogi – és Összeférhetetlenségi Bizottsága</w:t>
      </w:r>
      <w:r w:rsidRPr="00DA414B">
        <w:rPr>
          <w:rFonts w:ascii="Times New Roman" w:hAnsi="Times New Roman"/>
          <w:b/>
          <w:sz w:val="24"/>
          <w:szCs w:val="24"/>
        </w:rPr>
        <w:t xml:space="preserve"> </w:t>
      </w:r>
      <w:r w:rsidRPr="00DA414B">
        <w:rPr>
          <w:rFonts w:ascii="Times New Roman" w:hAnsi="Times New Roman"/>
          <w:sz w:val="24"/>
          <w:szCs w:val="24"/>
        </w:rPr>
        <w:t>megtárgyalta a „</w:t>
      </w:r>
      <w:r w:rsidRPr="00DA414B">
        <w:rPr>
          <w:rFonts w:ascii="Times New Roman" w:hAnsi="Times New Roman"/>
          <w:iCs/>
          <w:sz w:val="24"/>
          <w:szCs w:val="24"/>
        </w:rPr>
        <w:t>Beszámoló a Csongrádi Vendégváró Szolgáltató Szociális Szövetkezet működéséről</w:t>
      </w:r>
      <w:r w:rsidRPr="00DA414B">
        <w:rPr>
          <w:rFonts w:ascii="Times New Roman" w:hAnsi="Times New Roman"/>
          <w:i/>
          <w:iCs/>
          <w:sz w:val="24"/>
          <w:szCs w:val="24"/>
        </w:rPr>
        <w:t>”</w:t>
      </w:r>
      <w:r w:rsidRPr="00DA41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A414B">
        <w:rPr>
          <w:rFonts w:ascii="Times New Roman" w:hAnsi="Times New Roman"/>
          <w:sz w:val="24"/>
          <w:szCs w:val="24"/>
        </w:rPr>
        <w:t>című előterjesztést</w:t>
      </w:r>
      <w:r w:rsidRPr="00DA41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414B">
        <w:rPr>
          <w:rFonts w:ascii="Times New Roman" w:hAnsi="Times New Roman"/>
          <w:iCs/>
          <w:sz w:val="24"/>
          <w:szCs w:val="24"/>
        </w:rPr>
        <w:t xml:space="preserve">és az alábbi határozatot hozza: </w:t>
      </w:r>
    </w:p>
    <w:p w:rsidR="00DA414B" w:rsidRPr="00DA414B" w:rsidRDefault="00DA414B" w:rsidP="00DA414B">
      <w:pPr>
        <w:pStyle w:val="Szvegtrzs"/>
        <w:rPr>
          <w:szCs w:val="24"/>
        </w:rPr>
      </w:pPr>
    </w:p>
    <w:p w:rsidR="00DA414B" w:rsidRPr="00DA414B" w:rsidRDefault="00DA414B" w:rsidP="00DA414B">
      <w:pPr>
        <w:pStyle w:val="Szvegtrzs"/>
        <w:rPr>
          <w:szCs w:val="24"/>
        </w:rPr>
      </w:pPr>
      <w:r w:rsidRPr="00DA414B">
        <w:rPr>
          <w:szCs w:val="24"/>
        </w:rPr>
        <w:t>A Bizottság a Csongrádi Vendégváró Szolgáltató Szociális Szövetkezet beszámolóját elfogadja.</w:t>
      </w:r>
    </w:p>
    <w:p w:rsidR="00DA414B" w:rsidRPr="00DA414B" w:rsidRDefault="00DA414B" w:rsidP="00DA414B">
      <w:pPr>
        <w:pStyle w:val="Szvegtrzs"/>
        <w:rPr>
          <w:szCs w:val="24"/>
          <w:u w:val="single"/>
        </w:rPr>
      </w:pPr>
    </w:p>
    <w:p w:rsidR="00DA414B" w:rsidRPr="00DA414B" w:rsidRDefault="00DA414B" w:rsidP="00DA414B">
      <w:pPr>
        <w:pStyle w:val="Szvegtrzs"/>
        <w:rPr>
          <w:szCs w:val="24"/>
        </w:rPr>
      </w:pPr>
      <w:r w:rsidRPr="00DA414B">
        <w:rPr>
          <w:szCs w:val="24"/>
          <w:u w:val="single"/>
        </w:rPr>
        <w:t>Felelős:</w:t>
      </w:r>
      <w:r w:rsidRPr="00DA414B">
        <w:rPr>
          <w:szCs w:val="24"/>
        </w:rPr>
        <w:t xml:space="preserve"> Bedő Tamás polgármester</w:t>
      </w:r>
    </w:p>
    <w:p w:rsidR="00DA414B" w:rsidRPr="00DA414B" w:rsidRDefault="00DA414B" w:rsidP="00DA414B">
      <w:pPr>
        <w:pStyle w:val="Szvegtrzs"/>
        <w:ind w:firstLine="708"/>
        <w:rPr>
          <w:szCs w:val="24"/>
        </w:rPr>
      </w:pPr>
      <w:r w:rsidRPr="00DA414B">
        <w:rPr>
          <w:szCs w:val="24"/>
        </w:rPr>
        <w:t xml:space="preserve"> Benke Ágnes igazgató elnök</w:t>
      </w:r>
    </w:p>
    <w:p w:rsidR="00DA414B" w:rsidRPr="00DA414B" w:rsidRDefault="00DA414B" w:rsidP="00DA414B">
      <w:pPr>
        <w:pStyle w:val="Szvegtrzs"/>
        <w:rPr>
          <w:szCs w:val="24"/>
        </w:rPr>
      </w:pPr>
      <w:r w:rsidRPr="00DA414B">
        <w:rPr>
          <w:szCs w:val="24"/>
          <w:u w:val="single"/>
        </w:rPr>
        <w:t>Határidő</w:t>
      </w:r>
      <w:r w:rsidRPr="00DA414B">
        <w:rPr>
          <w:szCs w:val="24"/>
        </w:rPr>
        <w:t>: azonnal</w:t>
      </w:r>
    </w:p>
    <w:p w:rsidR="00DA414B" w:rsidRPr="00DA414B" w:rsidRDefault="00DA414B" w:rsidP="00DA41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4B" w:rsidRDefault="00DA414B" w:rsidP="00DA414B">
      <w:pPr>
        <w:pStyle w:val="Szvegtrzs"/>
        <w:rPr>
          <w:szCs w:val="24"/>
        </w:rPr>
      </w:pPr>
    </w:p>
    <w:p w:rsidR="00DA414B" w:rsidRPr="00DA414B" w:rsidRDefault="00DA414B" w:rsidP="00DA414B">
      <w:pPr>
        <w:pStyle w:val="Szvegtrzs"/>
        <w:rPr>
          <w:szCs w:val="24"/>
        </w:rPr>
      </w:pPr>
      <w:r w:rsidRPr="00DA414B">
        <w:rPr>
          <w:szCs w:val="24"/>
        </w:rPr>
        <w:t>Csongrád, 2019. szeptember 18.</w:t>
      </w:r>
    </w:p>
    <w:p w:rsidR="00DA414B" w:rsidRPr="00DA414B" w:rsidRDefault="00DA414B" w:rsidP="00DA414B">
      <w:pPr>
        <w:pStyle w:val="Szvegtrzs"/>
        <w:ind w:firstLine="708"/>
        <w:rPr>
          <w:szCs w:val="24"/>
        </w:rPr>
      </w:pPr>
      <w:r w:rsidRPr="00DA414B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A414B">
        <w:rPr>
          <w:szCs w:val="24"/>
        </w:rPr>
        <w:t>Bedő Tamás</w:t>
      </w:r>
    </w:p>
    <w:p w:rsidR="00DA414B" w:rsidRPr="00DA414B" w:rsidRDefault="00DA414B" w:rsidP="00DA414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A414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414B">
        <w:rPr>
          <w:rFonts w:ascii="Times New Roman" w:hAnsi="Times New Roman"/>
          <w:sz w:val="24"/>
          <w:szCs w:val="24"/>
        </w:rPr>
        <w:t>polgármester</w:t>
      </w: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14B" w:rsidRPr="00DA414B" w:rsidRDefault="00DA414B" w:rsidP="00DA4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DA414B" w:rsidRDefault="00DA414B" w:rsidP="003A4726">
      <w:pPr>
        <w:ind w:left="4956"/>
        <w:rPr>
          <w:rFonts w:ascii="Times New Roman" w:hAnsi="Times New Roman"/>
          <w:sz w:val="16"/>
          <w:szCs w:val="16"/>
        </w:rPr>
      </w:pPr>
    </w:p>
    <w:p w:rsidR="003A4726" w:rsidRPr="00C13131" w:rsidRDefault="00CF2E9D" w:rsidP="003A4726">
      <w:pPr>
        <w:ind w:left="49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hu-H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6350</wp:posOffset>
            </wp:positionV>
            <wp:extent cx="1268730" cy="842010"/>
            <wp:effectExtent l="19050" t="0" r="7620" b="0"/>
            <wp:wrapTight wrapText="bothSides">
              <wp:wrapPolygon edited="0">
                <wp:start x="-324" y="0"/>
                <wp:lineTo x="-324" y="21014"/>
                <wp:lineTo x="21730" y="21014"/>
                <wp:lineTo x="21730" y="0"/>
                <wp:lineTo x="-324" y="0"/>
              </wp:wrapPolygon>
            </wp:wrapTight>
            <wp:docPr id="3" name="Kép 1" descr="G:\__BACKUP__\Szabó Jenő\MUNKA\Vendégváró logó_kic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G:\__BACKUP__\Szabó Jenő\MUNKA\Vendégváró logó_kic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726" w:rsidRPr="00C13131">
        <w:rPr>
          <w:rFonts w:ascii="Times New Roman" w:hAnsi="Times New Roman"/>
          <w:sz w:val="16"/>
          <w:szCs w:val="16"/>
        </w:rPr>
        <w:t>Csongrádi Vendégváró Szolgáltató Szociális Szövetkezet</w:t>
      </w:r>
      <w:r w:rsidR="003A4726" w:rsidRPr="00C13131">
        <w:rPr>
          <w:rFonts w:ascii="Times New Roman" w:hAnsi="Times New Roman"/>
          <w:sz w:val="16"/>
          <w:szCs w:val="16"/>
        </w:rPr>
        <w:cr/>
        <w:t xml:space="preserve">6640. </w:t>
      </w:r>
      <w:r w:rsidR="001330F4" w:rsidRPr="00C13131">
        <w:rPr>
          <w:rFonts w:ascii="Times New Roman" w:hAnsi="Times New Roman"/>
          <w:sz w:val="16"/>
          <w:szCs w:val="16"/>
        </w:rPr>
        <w:t xml:space="preserve">Csongrád, </w:t>
      </w:r>
      <w:r w:rsidR="004B7B91">
        <w:rPr>
          <w:rFonts w:ascii="Times New Roman" w:hAnsi="Times New Roman"/>
          <w:sz w:val="16"/>
          <w:szCs w:val="16"/>
        </w:rPr>
        <w:t>Kossuth</w:t>
      </w:r>
      <w:r w:rsidR="001330F4" w:rsidRPr="00C13131">
        <w:rPr>
          <w:rFonts w:ascii="Times New Roman" w:hAnsi="Times New Roman"/>
          <w:sz w:val="16"/>
          <w:szCs w:val="16"/>
        </w:rPr>
        <w:t xml:space="preserve"> </w:t>
      </w:r>
      <w:r w:rsidR="004B7B91">
        <w:rPr>
          <w:rFonts w:ascii="Times New Roman" w:hAnsi="Times New Roman"/>
          <w:sz w:val="16"/>
          <w:szCs w:val="16"/>
        </w:rPr>
        <w:t xml:space="preserve">tér </w:t>
      </w:r>
      <w:r w:rsidR="00993924" w:rsidRPr="00C13131">
        <w:rPr>
          <w:rFonts w:ascii="Times New Roman" w:hAnsi="Times New Roman"/>
          <w:sz w:val="16"/>
          <w:szCs w:val="16"/>
        </w:rPr>
        <w:t>7.</w:t>
      </w:r>
      <w:r w:rsidR="00993924" w:rsidRPr="00C13131">
        <w:rPr>
          <w:rFonts w:ascii="Times New Roman" w:hAnsi="Times New Roman"/>
          <w:sz w:val="16"/>
          <w:szCs w:val="16"/>
        </w:rPr>
        <w:cr/>
        <w:t>Tel.: 06-63</w:t>
      </w:r>
      <w:r w:rsidR="0019251C">
        <w:rPr>
          <w:rFonts w:ascii="Times New Roman" w:hAnsi="Times New Roman"/>
          <w:sz w:val="16"/>
          <w:szCs w:val="16"/>
        </w:rPr>
        <w:t>/571-9</w:t>
      </w:r>
      <w:r w:rsidR="00ED7BAD">
        <w:rPr>
          <w:rFonts w:ascii="Times New Roman" w:hAnsi="Times New Roman"/>
          <w:sz w:val="16"/>
          <w:szCs w:val="16"/>
        </w:rPr>
        <w:t>38</w:t>
      </w:r>
      <w:r w:rsidR="003A4726" w:rsidRPr="00C13131">
        <w:rPr>
          <w:rFonts w:ascii="Times New Roman" w:hAnsi="Times New Roman"/>
          <w:sz w:val="16"/>
          <w:szCs w:val="16"/>
        </w:rPr>
        <w:cr/>
        <w:t xml:space="preserve">E-mail: </w:t>
      </w:r>
      <w:hyperlink r:id="rId6" w:history="1">
        <w:r w:rsidR="004B7B91" w:rsidRPr="00160947">
          <w:rPr>
            <w:rStyle w:val="Hiperhivatkozs"/>
            <w:rFonts w:ascii="Times New Roman" w:hAnsi="Times New Roman"/>
            <w:sz w:val="16"/>
            <w:szCs w:val="16"/>
          </w:rPr>
          <w:t>vendegvaro@csongradivendegvaro.hu</w:t>
        </w:r>
      </w:hyperlink>
    </w:p>
    <w:p w:rsidR="00041BAC" w:rsidRPr="005655F9" w:rsidRDefault="00CF2E9D" w:rsidP="003A4726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6845300" cy="1429385"/>
            <wp:effectExtent l="19050" t="0" r="0" b="0"/>
            <wp:wrapTight wrapText="bothSides">
              <wp:wrapPolygon edited="0">
                <wp:start x="2825" y="2879"/>
                <wp:lineTo x="-60" y="3454"/>
                <wp:lineTo x="-60" y="5182"/>
                <wp:lineTo x="4749" y="7485"/>
                <wp:lineTo x="4749" y="9500"/>
                <wp:lineTo x="10519" y="10939"/>
                <wp:lineTo x="17432" y="10939"/>
                <wp:lineTo x="20258" y="10939"/>
                <wp:lineTo x="21279" y="10939"/>
                <wp:lineTo x="21580" y="10076"/>
                <wp:lineTo x="21580" y="4606"/>
                <wp:lineTo x="5530" y="2879"/>
                <wp:lineTo x="2825" y="2879"/>
              </wp:wrapPolygon>
            </wp:wrapTight>
            <wp:docPr id="2" name="Kép 2" descr="C:\Users\Informatika\Desktop\ATL_airW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Informatika\Desktop\ATL_airWav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726" w:rsidRPr="003A4726">
        <w:rPr>
          <w:sz w:val="24"/>
          <w:szCs w:val="24"/>
        </w:rPr>
        <w:cr/>
      </w:r>
    </w:p>
    <w:p w:rsidR="00041BAC" w:rsidRPr="00041BAC" w:rsidRDefault="00041BAC" w:rsidP="003A4726">
      <w:pPr>
        <w:rPr>
          <w:rFonts w:ascii="Times New Roman" w:hAnsi="Times New Roman"/>
        </w:rPr>
      </w:pPr>
      <w:r w:rsidRPr="00CE3925">
        <w:rPr>
          <w:rFonts w:ascii="Times New Roman" w:hAnsi="Times New Roman"/>
          <w:b/>
        </w:rPr>
        <w:t xml:space="preserve">Tisztelt </w:t>
      </w:r>
      <w:r w:rsidR="005655F9">
        <w:rPr>
          <w:rFonts w:ascii="Times New Roman" w:hAnsi="Times New Roman"/>
          <w:b/>
        </w:rPr>
        <w:t xml:space="preserve">Ügyrendi, Jogi – és Összeférhetetlenségi </w:t>
      </w:r>
      <w:r w:rsidR="00656C8D">
        <w:rPr>
          <w:rFonts w:ascii="Times New Roman" w:hAnsi="Times New Roman"/>
          <w:b/>
        </w:rPr>
        <w:t>Bizottság</w:t>
      </w:r>
      <w:r w:rsidRPr="00041BAC">
        <w:rPr>
          <w:rFonts w:ascii="Times New Roman" w:hAnsi="Times New Roman"/>
        </w:rPr>
        <w:t>!</w:t>
      </w:r>
    </w:p>
    <w:p w:rsidR="005655F9" w:rsidRDefault="00CE3925" w:rsidP="005655F9">
      <w:pPr>
        <w:spacing w:after="0" w:line="240" w:lineRule="auto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 xml:space="preserve">A CSONGRÁDI VENDÉGVÁRÓ Szolgáltató Szociális Szövetkezet (a továbbiakban: </w:t>
      </w:r>
      <w:r w:rsidR="00041BAC" w:rsidRPr="00656C8D">
        <w:rPr>
          <w:rFonts w:ascii="Times New Roman" w:hAnsi="Times New Roman"/>
        </w:rPr>
        <w:t>Szövet</w:t>
      </w:r>
      <w:r w:rsidRPr="00656C8D">
        <w:rPr>
          <w:rFonts w:ascii="Times New Roman" w:hAnsi="Times New Roman"/>
        </w:rPr>
        <w:t xml:space="preserve">kezet), </w:t>
      </w:r>
      <w:r w:rsidR="00041BAC" w:rsidRPr="00656C8D">
        <w:rPr>
          <w:rFonts w:ascii="Times New Roman" w:hAnsi="Times New Roman"/>
        </w:rPr>
        <w:t xml:space="preserve">2016-ban (első körös pályázó) támogatást </w:t>
      </w:r>
      <w:r w:rsidRPr="00656C8D">
        <w:rPr>
          <w:rFonts w:ascii="Times New Roman" w:hAnsi="Times New Roman"/>
        </w:rPr>
        <w:t xml:space="preserve">nyert </w:t>
      </w:r>
      <w:r w:rsidR="00041BAC" w:rsidRPr="00656C8D">
        <w:rPr>
          <w:rFonts w:ascii="Times New Roman" w:hAnsi="Times New Roman"/>
        </w:rPr>
        <w:t>a „Fókuszban az önkormányzati tagsággal rendelkező szociális szövetkezet” című pályá</w:t>
      </w:r>
      <w:r w:rsidR="00656C8D" w:rsidRPr="00656C8D">
        <w:rPr>
          <w:rFonts w:ascii="Times New Roman" w:hAnsi="Times New Roman"/>
        </w:rPr>
        <w:t xml:space="preserve">zaton FÓKUSZ-2016/0022 </w:t>
      </w:r>
      <w:r w:rsidRPr="00656C8D">
        <w:rPr>
          <w:rFonts w:ascii="Times New Roman" w:hAnsi="Times New Roman"/>
        </w:rPr>
        <w:t>projekt</w:t>
      </w:r>
      <w:r w:rsidR="00041BAC" w:rsidRPr="00656C8D">
        <w:rPr>
          <w:rFonts w:ascii="Times New Roman" w:hAnsi="Times New Roman"/>
        </w:rPr>
        <w:t>azonosító számmal.</w:t>
      </w:r>
      <w:r w:rsidRPr="00656C8D">
        <w:rPr>
          <w:rFonts w:ascii="Times New Roman" w:hAnsi="Times New Roman"/>
        </w:rPr>
        <w:t xml:space="preserve"> Támogatási időszak: 2017.01.01-2019.12.31. és a megvalósítási időszakot követő 18 hónap továbbfoglalkoztatási kötelezettség.</w:t>
      </w:r>
    </w:p>
    <w:p w:rsidR="00D922D5" w:rsidRPr="00656C8D" w:rsidRDefault="00041BAC" w:rsidP="005655F9">
      <w:pPr>
        <w:spacing w:after="0" w:line="240" w:lineRule="auto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pályázat</w:t>
      </w:r>
      <w:r w:rsidR="00CE3925" w:rsidRPr="00656C8D">
        <w:rPr>
          <w:rFonts w:ascii="Times New Roman" w:hAnsi="Times New Roman"/>
        </w:rPr>
        <w:t>ban személyi juttatások soron</w:t>
      </w:r>
      <w:r w:rsidRPr="00656C8D">
        <w:rPr>
          <w:rFonts w:ascii="Times New Roman" w:hAnsi="Times New Roman"/>
        </w:rPr>
        <w:t xml:space="preserve"> az akkor érvényben lévő minimálbér össze</w:t>
      </w:r>
      <w:r w:rsidR="00CE3925" w:rsidRPr="00656C8D">
        <w:rPr>
          <w:rFonts w:ascii="Times New Roman" w:hAnsi="Times New Roman"/>
        </w:rPr>
        <w:t>ge</w:t>
      </w:r>
      <w:r w:rsidRPr="00656C8D">
        <w:rPr>
          <w:rFonts w:ascii="Times New Roman" w:hAnsi="Times New Roman"/>
        </w:rPr>
        <w:t xml:space="preserve"> (bruttó 111.000,- Ft/hó) </w:t>
      </w:r>
      <w:r w:rsidR="00CE3925" w:rsidRPr="00656C8D">
        <w:rPr>
          <w:rFonts w:ascii="Times New Roman" w:hAnsi="Times New Roman"/>
        </w:rPr>
        <w:t>szerepelt</w:t>
      </w:r>
      <w:r w:rsidRPr="00656C8D">
        <w:rPr>
          <w:rFonts w:ascii="Times New Roman" w:hAnsi="Times New Roman"/>
        </w:rPr>
        <w:t>.</w:t>
      </w:r>
      <w:r w:rsidR="00A94D39" w:rsidRPr="00656C8D">
        <w:rPr>
          <w:rFonts w:ascii="Times New Roman" w:hAnsi="Times New Roman"/>
        </w:rPr>
        <w:t xml:space="preserve"> </w:t>
      </w:r>
      <w:r w:rsidR="00CE3925" w:rsidRPr="00656C8D">
        <w:rPr>
          <w:rFonts w:ascii="Times New Roman" w:hAnsi="Times New Roman"/>
        </w:rPr>
        <w:t>A</w:t>
      </w:r>
      <w:r w:rsidRPr="00656C8D">
        <w:rPr>
          <w:rFonts w:ascii="Times New Roman" w:hAnsi="Times New Roman"/>
        </w:rPr>
        <w:t xml:space="preserve"> projekt</w:t>
      </w:r>
      <w:r w:rsidR="00CE3925" w:rsidRPr="00656C8D">
        <w:rPr>
          <w:rFonts w:ascii="Times New Roman" w:hAnsi="Times New Roman"/>
        </w:rPr>
        <w:t xml:space="preserve"> megkezdésekor a jogszabályváltozáso</w:t>
      </w:r>
      <w:r w:rsidR="00A94D39" w:rsidRPr="00656C8D">
        <w:rPr>
          <w:rFonts w:ascii="Times New Roman" w:hAnsi="Times New Roman"/>
        </w:rPr>
        <w:t xml:space="preserve">k következtében jelentős </w:t>
      </w:r>
      <w:r w:rsidRPr="00656C8D">
        <w:rPr>
          <w:rFonts w:ascii="Times New Roman" w:hAnsi="Times New Roman"/>
        </w:rPr>
        <w:t>minimálbér</w:t>
      </w:r>
      <w:r w:rsidR="00CE3925" w:rsidRPr="00656C8D">
        <w:rPr>
          <w:rFonts w:ascii="Times New Roman" w:hAnsi="Times New Roman"/>
        </w:rPr>
        <w:t xml:space="preserve"> </w:t>
      </w:r>
      <w:r w:rsidR="00A94D39" w:rsidRPr="00656C8D">
        <w:rPr>
          <w:rFonts w:ascii="Times New Roman" w:hAnsi="Times New Roman"/>
        </w:rPr>
        <w:t xml:space="preserve">növekedéssel szembesültünk, mely szerint a fent hivatkozott minimálbér összege bruttó </w:t>
      </w:r>
      <w:r w:rsidR="00D922D5" w:rsidRPr="00656C8D">
        <w:rPr>
          <w:rFonts w:ascii="Times New Roman" w:hAnsi="Times New Roman"/>
        </w:rPr>
        <w:t>127.500,- Ft-ra</w:t>
      </w:r>
      <w:r w:rsidR="00A94D39" w:rsidRPr="00656C8D">
        <w:rPr>
          <w:rFonts w:ascii="Times New Roman" w:hAnsi="Times New Roman"/>
        </w:rPr>
        <w:t xml:space="preserve"> emelkedett. Ezt követték 2018. és 2019. években további minimálbér emelkedések (jelenleg bruttó 149.000,- Ft), mely következtében a Szövetkezet nehéz anyagi h</w:t>
      </w:r>
      <w:r w:rsidR="00893888" w:rsidRPr="00656C8D">
        <w:rPr>
          <w:rFonts w:ascii="Times New Roman" w:hAnsi="Times New Roman"/>
        </w:rPr>
        <w:t>elyzettel küzd, több esetben a bérek és járulékok kifizetése gondot okoz/okozott.</w:t>
      </w:r>
    </w:p>
    <w:p w:rsidR="00D922D5" w:rsidRPr="00656C8D" w:rsidRDefault="00D922D5" w:rsidP="005655F9">
      <w:pPr>
        <w:spacing w:after="0" w:line="240" w:lineRule="auto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szövetkezet két fő profilja a szállodai szolgáltatás és építőipari tevékenység.</w:t>
      </w:r>
    </w:p>
    <w:p w:rsidR="00AC3108" w:rsidRPr="00656C8D" w:rsidRDefault="00AC3108" w:rsidP="005655F9">
      <w:pPr>
        <w:spacing w:after="0" w:line="240" w:lineRule="auto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szállodai szolgáltatás tevékenység egy 8 fős – a pályázati támogatásból felújított - apartman ház üzemeltetésével valósul meg, ahol a befolyt bevételekből a szálláshely környezetét fejlesztettük (járdafelújítás, 10 fős fedett kerti kiülő, me</w:t>
      </w:r>
      <w:r w:rsidR="00F82C93" w:rsidRPr="00656C8D">
        <w:rPr>
          <w:rFonts w:ascii="Times New Roman" w:hAnsi="Times New Roman"/>
        </w:rPr>
        <w:t>n</w:t>
      </w:r>
      <w:r w:rsidRPr="00656C8D">
        <w:rPr>
          <w:rFonts w:ascii="Times New Roman" w:hAnsi="Times New Roman"/>
        </w:rPr>
        <w:t>nyezetszigetelés).</w:t>
      </w:r>
    </w:p>
    <w:p w:rsidR="00E748D4" w:rsidRPr="00656C8D" w:rsidRDefault="00AC3108" w:rsidP="005655F9">
      <w:pPr>
        <w:spacing w:after="0" w:line="240" w:lineRule="auto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szálláshely a térség idegenforgalmi vonzerejétől függően</w:t>
      </w:r>
      <w:r w:rsidR="00F82C93" w:rsidRPr="00656C8D">
        <w:rPr>
          <w:rFonts w:ascii="Times New Roman" w:hAnsi="Times New Roman"/>
        </w:rPr>
        <w:t xml:space="preserve"> közepes kapacitással</w:t>
      </w:r>
      <w:r w:rsidRPr="00656C8D">
        <w:rPr>
          <w:rFonts w:ascii="Times New Roman" w:hAnsi="Times New Roman"/>
        </w:rPr>
        <w:t xml:space="preserve"> működik. </w:t>
      </w:r>
      <w:r w:rsidR="00D922D5" w:rsidRPr="00656C8D">
        <w:rPr>
          <w:rFonts w:ascii="Times New Roman" w:hAnsi="Times New Roman"/>
        </w:rPr>
        <w:t>Az építőiparban 5 munkavállaló foglalkoztatása valósul meg. Egy fő kivételével szakképzettséggel rendelkező munkavállalókról van szó, így</w:t>
      </w:r>
      <w:r w:rsidR="00893888" w:rsidRPr="00656C8D">
        <w:rPr>
          <w:rFonts w:ascii="Times New Roman" w:hAnsi="Times New Roman"/>
        </w:rPr>
        <w:t xml:space="preserve"> a magasabb összegű</w:t>
      </w:r>
      <w:r w:rsidR="00D922D5" w:rsidRPr="00656C8D">
        <w:rPr>
          <w:rFonts w:ascii="Times New Roman" w:hAnsi="Times New Roman"/>
        </w:rPr>
        <w:t xml:space="preserve"> garantált bérmin</w:t>
      </w:r>
      <w:r w:rsidR="00656C8D">
        <w:rPr>
          <w:rFonts w:ascii="Times New Roman" w:hAnsi="Times New Roman"/>
        </w:rPr>
        <w:t xml:space="preserve">imumot kapják. </w:t>
      </w:r>
      <w:r w:rsidR="00893888" w:rsidRPr="00656C8D">
        <w:rPr>
          <w:rFonts w:ascii="Times New Roman" w:hAnsi="Times New Roman"/>
        </w:rPr>
        <w:t>A pályázati előírások alapján</w:t>
      </w:r>
      <w:r w:rsidR="008B74D5" w:rsidRPr="00656C8D">
        <w:rPr>
          <w:rFonts w:ascii="Times New Roman" w:hAnsi="Times New Roman"/>
        </w:rPr>
        <w:t xml:space="preserve"> </w:t>
      </w:r>
      <w:r w:rsidR="00D922D5" w:rsidRPr="00656C8D">
        <w:rPr>
          <w:rFonts w:ascii="Times New Roman" w:hAnsi="Times New Roman"/>
        </w:rPr>
        <w:t xml:space="preserve">a munkavállalók közfoglalkoztatottak, vagy álláskeresők </w:t>
      </w:r>
      <w:r w:rsidR="00893888" w:rsidRPr="00656C8D">
        <w:rPr>
          <w:rFonts w:ascii="Times New Roman" w:hAnsi="Times New Roman"/>
        </w:rPr>
        <w:t>közül kerültek kiválasztásra.</w:t>
      </w:r>
      <w:r w:rsidR="008B74D5" w:rsidRPr="00656C8D">
        <w:rPr>
          <w:rFonts w:ascii="Times New Roman" w:hAnsi="Times New Roman"/>
        </w:rPr>
        <w:t xml:space="preserve"> </w:t>
      </w:r>
      <w:r w:rsidR="00893888" w:rsidRPr="00656C8D">
        <w:rPr>
          <w:rFonts w:ascii="Times New Roman" w:hAnsi="Times New Roman"/>
        </w:rPr>
        <w:t>T</w:t>
      </w:r>
      <w:r w:rsidR="008B74D5" w:rsidRPr="00656C8D">
        <w:rPr>
          <w:rFonts w:ascii="Times New Roman" w:hAnsi="Times New Roman"/>
        </w:rPr>
        <w:t>apasztalatlanságuk, önálló munkavégzésre való alka</w:t>
      </w:r>
      <w:r w:rsidR="00893888" w:rsidRPr="00656C8D">
        <w:rPr>
          <w:rFonts w:ascii="Times New Roman" w:hAnsi="Times New Roman"/>
        </w:rPr>
        <w:t>lmatlanságuk nem teszi lehetővé,</w:t>
      </w:r>
      <w:r w:rsidR="008B74D5" w:rsidRPr="00656C8D">
        <w:rPr>
          <w:rFonts w:ascii="Times New Roman" w:hAnsi="Times New Roman"/>
        </w:rPr>
        <w:t xml:space="preserve"> hogy a piacon vállaljunk velük építőipari munkákat, így </w:t>
      </w:r>
      <w:r w:rsidR="00656C8D">
        <w:rPr>
          <w:rFonts w:ascii="Times New Roman" w:hAnsi="Times New Roman"/>
        </w:rPr>
        <w:t>elsősorban</w:t>
      </w:r>
      <w:r w:rsidR="008B74D5" w:rsidRPr="00656C8D">
        <w:rPr>
          <w:rFonts w:ascii="Times New Roman" w:hAnsi="Times New Roman"/>
        </w:rPr>
        <w:t xml:space="preserve"> az önkormányzat megbízásait tudjuk teljesíteni. </w:t>
      </w:r>
      <w:r w:rsidR="00091321" w:rsidRPr="00656C8D">
        <w:rPr>
          <w:rFonts w:ascii="Times New Roman" w:hAnsi="Times New Roman"/>
        </w:rPr>
        <w:t xml:space="preserve">Ezek zömében járdaépítésben, óvodai, játszótéri játékok felújításában, és egyéb, hasonló kisebb munkákban valósulnak meg, mely tevékenységek nem jelentenek </w:t>
      </w:r>
      <w:r w:rsidR="00893888" w:rsidRPr="00656C8D">
        <w:rPr>
          <w:rFonts w:ascii="Times New Roman" w:hAnsi="Times New Roman"/>
        </w:rPr>
        <w:t>elegendő</w:t>
      </w:r>
      <w:r w:rsidR="00091321" w:rsidRPr="00656C8D">
        <w:rPr>
          <w:rFonts w:ascii="Times New Roman" w:hAnsi="Times New Roman"/>
        </w:rPr>
        <w:t xml:space="preserve"> bevételt a szövetkezet</w:t>
      </w:r>
      <w:r w:rsidR="00893888" w:rsidRPr="00656C8D">
        <w:rPr>
          <w:rFonts w:ascii="Times New Roman" w:hAnsi="Times New Roman"/>
        </w:rPr>
        <w:t xml:space="preserve"> eredményes</w:t>
      </w:r>
      <w:r w:rsidR="00091321" w:rsidRPr="00656C8D">
        <w:rPr>
          <w:rFonts w:ascii="Times New Roman" w:hAnsi="Times New Roman"/>
        </w:rPr>
        <w:t xml:space="preserve"> fenntartásához és a bérek kifizetéséhez.</w:t>
      </w:r>
      <w:r w:rsidR="00893888" w:rsidRPr="00656C8D">
        <w:rPr>
          <w:rFonts w:ascii="Times New Roman" w:hAnsi="Times New Roman"/>
        </w:rPr>
        <w:t xml:space="preserve"> A fent említett bérezéssel kalkulálva Szövetkezetünk számára a 18 hónapos továbbfoglalkoztatási kötelezettség (2020.0101-2021.06.30.)</w:t>
      </w:r>
      <w:r w:rsidRPr="00656C8D">
        <w:rPr>
          <w:rFonts w:ascii="Times New Roman" w:hAnsi="Times New Roman"/>
        </w:rPr>
        <w:t xml:space="preserve"> </w:t>
      </w:r>
      <w:r w:rsidR="005655F9">
        <w:rPr>
          <w:rFonts w:ascii="Times New Roman" w:hAnsi="Times New Roman"/>
        </w:rPr>
        <w:t>jelentős terhet ró, melynek bevételi forrása a jelenlegi körülmények mellet nem biztosított.</w:t>
      </w:r>
      <w:r w:rsidRPr="00656C8D">
        <w:rPr>
          <w:rFonts w:ascii="Times New Roman" w:hAnsi="Times New Roman"/>
        </w:rPr>
        <w:t xml:space="preserve"> </w:t>
      </w:r>
    </w:p>
    <w:p w:rsidR="005655F9" w:rsidRDefault="005655F9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5655F9" w:rsidRDefault="005655F9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mellékelt anyagban összefoglaltuk a Szövetkezet</w:t>
      </w:r>
      <w:r w:rsidR="009662A4">
        <w:rPr>
          <w:rFonts w:ascii="Times New Roman" w:hAnsi="Times New Roman"/>
        </w:rPr>
        <w:t xml:space="preserve"> </w:t>
      </w:r>
      <w:r w:rsidR="009662A4" w:rsidRPr="00DA414B">
        <w:rPr>
          <w:rFonts w:ascii="Times New Roman" w:hAnsi="Times New Roman"/>
        </w:rPr>
        <w:t>2019 évre vonatkozó</w:t>
      </w:r>
      <w:r>
        <w:rPr>
          <w:rFonts w:ascii="Times New Roman" w:hAnsi="Times New Roman"/>
        </w:rPr>
        <w:t xml:space="preserve"> bevételei és kiadásai tételeit.</w:t>
      </w:r>
    </w:p>
    <w:p w:rsidR="009662A4" w:rsidRDefault="009662A4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656C8D" w:rsidRPr="00656C8D" w:rsidRDefault="00656C8D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 xml:space="preserve">A szövetkezet bevétele 3 fő tevékenységből származik, ezek a következők: Dob utcai vendégház üzemeltetése, Közösségi Ház üzemeltetése, valamint építőipari munkák (ez utóbbiak kapcsán a megrendelések 95%-a az önkormányzattól származik). </w:t>
      </w:r>
    </w:p>
    <w:p w:rsidR="00656C8D" w:rsidRPr="00656C8D" w:rsidRDefault="00656C8D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szövetkezet építőipari termelékenysége nagyon alacsony, az 1 főre eső havi átlagos bevétel 113 ezer forint, ami nem fedezi még a bérköltségeket sem.</w:t>
      </w:r>
    </w:p>
    <w:p w:rsidR="00656C8D" w:rsidRPr="00656C8D" w:rsidRDefault="00656C8D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szövetkezet készített egy saját kimutatást a</w:t>
      </w:r>
      <w:r w:rsidR="009662A4">
        <w:rPr>
          <w:rFonts w:ascii="Times New Roman" w:hAnsi="Times New Roman"/>
        </w:rPr>
        <w:t xml:space="preserve"> </w:t>
      </w:r>
      <w:r w:rsidR="009662A4" w:rsidRPr="00DA414B">
        <w:rPr>
          <w:rFonts w:ascii="Times New Roman" w:hAnsi="Times New Roman"/>
        </w:rPr>
        <w:t>2019 évi</w:t>
      </w:r>
      <w:r w:rsidRPr="00656C8D">
        <w:rPr>
          <w:rFonts w:ascii="Times New Roman" w:hAnsi="Times New Roman"/>
        </w:rPr>
        <w:t xml:space="preserve"> bevételekről és a </w:t>
      </w:r>
      <w:r w:rsidR="00D94DCD">
        <w:rPr>
          <w:rFonts w:ascii="Times New Roman" w:hAnsi="Times New Roman"/>
        </w:rPr>
        <w:t xml:space="preserve">jövőben várható </w:t>
      </w:r>
      <w:r w:rsidRPr="00656C8D">
        <w:rPr>
          <w:rFonts w:ascii="Times New Roman" w:hAnsi="Times New Roman"/>
        </w:rPr>
        <w:t xml:space="preserve">kiadásokról, </w:t>
      </w:r>
      <w:r w:rsidR="005655F9">
        <w:rPr>
          <w:rFonts w:ascii="Times New Roman" w:hAnsi="Times New Roman"/>
        </w:rPr>
        <w:t xml:space="preserve">melyet mellékelünk. </w:t>
      </w:r>
      <w:r w:rsidRPr="00656C8D">
        <w:rPr>
          <w:rFonts w:ascii="Times New Roman" w:hAnsi="Times New Roman"/>
        </w:rPr>
        <w:t>A kimutatást alapul véve a szövetkezet még nem érte el a fenntartható pénzügyi működést.</w:t>
      </w:r>
    </w:p>
    <w:p w:rsidR="00656C8D" w:rsidRPr="00656C8D" w:rsidRDefault="00656C8D" w:rsidP="005655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A szövetkezetnek voltak likviditási problémái, amit tagi kölcsönnel hidaltak át.</w:t>
      </w:r>
    </w:p>
    <w:p w:rsidR="00E66271" w:rsidRPr="00656C8D" w:rsidRDefault="00E66271" w:rsidP="005655F9">
      <w:pPr>
        <w:spacing w:after="0" w:line="240" w:lineRule="auto"/>
        <w:jc w:val="both"/>
        <w:rPr>
          <w:rFonts w:ascii="Times New Roman" w:hAnsi="Times New Roman"/>
        </w:rPr>
      </w:pPr>
    </w:p>
    <w:p w:rsidR="00E748D4" w:rsidRPr="00656C8D" w:rsidRDefault="00E66271" w:rsidP="005655F9">
      <w:pPr>
        <w:spacing w:after="0" w:line="240" w:lineRule="auto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Csongrád, 2019.</w:t>
      </w:r>
      <w:r w:rsidR="00656C8D">
        <w:rPr>
          <w:rFonts w:ascii="Times New Roman" w:hAnsi="Times New Roman"/>
        </w:rPr>
        <w:t>szeptember 18.</w:t>
      </w:r>
    </w:p>
    <w:p w:rsidR="00E66271" w:rsidRPr="00656C8D" w:rsidRDefault="00E66271" w:rsidP="005655F9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</w:p>
    <w:p w:rsidR="00E66271" w:rsidRPr="00656C8D" w:rsidRDefault="00E748D4" w:rsidP="005655F9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 w:rsidRPr="00656C8D">
        <w:rPr>
          <w:rFonts w:ascii="Times New Roman" w:hAnsi="Times New Roman"/>
        </w:rPr>
        <w:t>Köszönettel:</w:t>
      </w:r>
    </w:p>
    <w:p w:rsidR="00E66271" w:rsidRPr="00656C8D" w:rsidRDefault="00E66271" w:rsidP="005655F9">
      <w:pPr>
        <w:tabs>
          <w:tab w:val="left" w:pos="6655"/>
        </w:tabs>
        <w:spacing w:after="0" w:line="240" w:lineRule="auto"/>
        <w:rPr>
          <w:rFonts w:ascii="Times New Roman" w:hAnsi="Times New Roman"/>
        </w:rPr>
      </w:pPr>
      <w:r w:rsidRPr="00656C8D">
        <w:rPr>
          <w:rFonts w:ascii="Times New Roman" w:hAnsi="Times New Roman"/>
        </w:rPr>
        <w:tab/>
      </w:r>
    </w:p>
    <w:p w:rsidR="00E66271" w:rsidRPr="00656C8D" w:rsidRDefault="00E66271" w:rsidP="005655F9">
      <w:pPr>
        <w:tabs>
          <w:tab w:val="left" w:pos="6655"/>
        </w:tabs>
        <w:spacing w:after="0" w:line="240" w:lineRule="auto"/>
        <w:rPr>
          <w:rFonts w:ascii="Times New Roman" w:hAnsi="Times New Roman"/>
        </w:rPr>
      </w:pPr>
      <w:r w:rsidRPr="00656C8D">
        <w:rPr>
          <w:rFonts w:ascii="Times New Roman" w:hAnsi="Times New Roman"/>
        </w:rPr>
        <w:tab/>
        <w:t>Benke Ágnes</w:t>
      </w:r>
    </w:p>
    <w:p w:rsidR="00DA414B" w:rsidRDefault="00E66271" w:rsidP="005655F9">
      <w:pPr>
        <w:tabs>
          <w:tab w:val="left" w:pos="6655"/>
        </w:tabs>
        <w:spacing w:after="0" w:line="240" w:lineRule="auto"/>
        <w:rPr>
          <w:rFonts w:ascii="Times New Roman" w:hAnsi="Times New Roman"/>
        </w:rPr>
      </w:pPr>
      <w:r w:rsidRPr="00656C8D">
        <w:rPr>
          <w:rFonts w:ascii="Times New Roman" w:hAnsi="Times New Roman"/>
        </w:rPr>
        <w:tab/>
        <w:t>Igazgató elnök</w:t>
      </w:r>
    </w:p>
    <w:p w:rsidR="00DA414B" w:rsidRDefault="00DA414B" w:rsidP="00DA414B">
      <w:pPr>
        <w:rPr>
          <w:rFonts w:ascii="Times New Roman" w:hAnsi="Times New Roman"/>
        </w:rPr>
      </w:pPr>
    </w:p>
    <w:p w:rsidR="00E748D4" w:rsidRDefault="00E748D4" w:rsidP="00DA414B">
      <w:pPr>
        <w:rPr>
          <w:rFonts w:ascii="Times New Roman" w:hAnsi="Times New Roman"/>
        </w:rPr>
      </w:pPr>
    </w:p>
    <w:p w:rsidR="00DA414B" w:rsidRDefault="00DA414B" w:rsidP="00DA414B">
      <w:pPr>
        <w:rPr>
          <w:rFonts w:ascii="Times New Roman" w:hAnsi="Times New Roman"/>
        </w:rPr>
      </w:pPr>
    </w:p>
    <w:p w:rsidR="00DA414B" w:rsidRDefault="00DA414B" w:rsidP="00DA414B">
      <w:pPr>
        <w:rPr>
          <w:rFonts w:ascii="Times New Roman" w:hAnsi="Times New Roman"/>
        </w:rPr>
      </w:pPr>
    </w:p>
    <w:p w:rsidR="00DA414B" w:rsidRDefault="00DA414B" w:rsidP="00DA414B">
      <w:pPr>
        <w:rPr>
          <w:rFonts w:ascii="Times New Roman" w:hAnsi="Times New Roman"/>
        </w:rPr>
      </w:pPr>
    </w:p>
    <w:p w:rsidR="00DA414B" w:rsidRDefault="00DA414B" w:rsidP="00DA414B">
      <w:pPr>
        <w:jc w:val="center"/>
        <w:rPr>
          <w:rFonts w:ascii="Times New Roman" w:hAnsi="Times New Roman"/>
        </w:rPr>
      </w:pPr>
    </w:p>
    <w:p w:rsidR="00DA414B" w:rsidRPr="00DA414B" w:rsidRDefault="00DA414B" w:rsidP="00DA414B">
      <w:pPr>
        <w:spacing w:after="0"/>
        <w:jc w:val="center"/>
        <w:rPr>
          <w:rFonts w:ascii="Times New Roman" w:hAnsi="Times New Roman"/>
        </w:rPr>
      </w:pPr>
      <w:r w:rsidRPr="00DA414B">
        <w:rPr>
          <w:rFonts w:ascii="Times New Roman" w:hAnsi="Times New Roman"/>
        </w:rPr>
        <w:t>Bevételek</w:t>
      </w:r>
    </w:p>
    <w:p w:rsidR="00DA414B" w:rsidRPr="00DA414B" w:rsidRDefault="00DA414B" w:rsidP="00DA414B">
      <w:pPr>
        <w:spacing w:after="0"/>
        <w:jc w:val="center"/>
        <w:rPr>
          <w:rFonts w:ascii="Times New Roman" w:hAnsi="Times New Roman"/>
        </w:rPr>
      </w:pPr>
      <w:r w:rsidRPr="00DA414B">
        <w:rPr>
          <w:rFonts w:ascii="Times New Roman" w:hAnsi="Times New Roman"/>
        </w:rPr>
        <w:t>2019.január 1-től szeptember 10-ig</w:t>
      </w:r>
    </w:p>
    <w:p w:rsidR="00DA414B" w:rsidRPr="00DA414B" w:rsidRDefault="00DA414B" w:rsidP="00DA414B">
      <w:pPr>
        <w:spacing w:after="0"/>
        <w:jc w:val="center"/>
        <w:rPr>
          <w:rFonts w:ascii="Times New Roman" w:hAnsi="Times New Roman"/>
        </w:rPr>
      </w:pPr>
      <w:r w:rsidRPr="00DA414B">
        <w:rPr>
          <w:rFonts w:ascii="Times New Roman" w:hAnsi="Times New Roman"/>
        </w:rPr>
        <w:t>Összesen bevétel bruttó 5.766.750 ft</w:t>
      </w:r>
    </w:p>
    <w:p w:rsidR="00DA414B" w:rsidRDefault="00DA414B" w:rsidP="00DA414B">
      <w:pPr>
        <w:spacing w:after="0"/>
        <w:rPr>
          <w:rFonts w:ascii="Times New Roman" w:hAnsi="Times New Roman"/>
        </w:rPr>
      </w:pPr>
      <w:r w:rsidRPr="00DA414B">
        <w:rPr>
          <w:rFonts w:ascii="Times New Roman" w:hAnsi="Times New Roman"/>
        </w:rPr>
        <w:t>Építőipari tevékenység</w:t>
      </w:r>
    </w:p>
    <w:p w:rsidR="00DA414B" w:rsidRPr="00DA414B" w:rsidRDefault="00DA414B" w:rsidP="00DA414B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7"/>
        <w:gridCol w:w="1084"/>
        <w:gridCol w:w="3021"/>
      </w:tblGrid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Tevékenység helyszíne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m</w:t>
            </w:r>
            <w:r w:rsidRPr="00DA414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összeg (bruttó)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Fő utca 32-től Jegenye utca sarokig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128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448.000,-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Jegenye utca saroktól a Platánfa óvoda kapubejáróig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78,2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273.000,-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Orgona utca 2-8 számú társasházak előtti járdaszakasz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175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632.000,-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Templom utcai delfin óvoda játszótéri játékok felújítása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1.255.000,-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Ék utca 13 ingatlan kiürítés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801.000,-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Sághy konyha csempe leverése, helyreállítása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128.700,-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Templom utcai óvoda előtti járdaszakasz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104,4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574.200,-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Fő utca 38-40 szám előtti járdaszakasz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46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253.000,-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Fő utca platánfa óvoda előtti kerékpár tároló helyreállítása és a Cipó bolt előtti járdaszakasz helyreállítása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11,5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92.650,-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Körös torok hrsz 6026 kempingben járda helyreállítása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151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906.000,-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fő utca 38 szám alatti Platánfa óvoda belső kapubejárójának helyreállítása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40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480.000,- Ft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Gyöngyösi utca 4-11 járda építés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117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643.500,-</w:t>
            </w: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414B" w:rsidRPr="00DA414B" w:rsidTr="00DA414B">
        <w:tc>
          <w:tcPr>
            <w:tcW w:w="4957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Összes építőipari tevékenységből származó bevétel (bruttó)</w:t>
            </w:r>
          </w:p>
        </w:tc>
        <w:tc>
          <w:tcPr>
            <w:tcW w:w="1084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851</w:t>
            </w:r>
          </w:p>
        </w:tc>
        <w:tc>
          <w:tcPr>
            <w:tcW w:w="3021" w:type="dxa"/>
          </w:tcPr>
          <w:p w:rsidR="00DA414B" w:rsidRPr="00DA414B" w:rsidRDefault="00DA414B" w:rsidP="00DA414B">
            <w:pPr>
              <w:spacing w:after="0"/>
              <w:rPr>
                <w:rFonts w:ascii="Times New Roman" w:hAnsi="Times New Roman"/>
              </w:rPr>
            </w:pPr>
            <w:r w:rsidRPr="00DA414B">
              <w:rPr>
                <w:rFonts w:ascii="Times New Roman" w:hAnsi="Times New Roman"/>
              </w:rPr>
              <w:t>5.766.750,- Ft</w:t>
            </w:r>
          </w:p>
        </w:tc>
      </w:tr>
    </w:tbl>
    <w:p w:rsidR="00DA414B" w:rsidRPr="00DA414B" w:rsidRDefault="00DA414B" w:rsidP="00DA414B">
      <w:pPr>
        <w:spacing w:after="0"/>
        <w:rPr>
          <w:rFonts w:ascii="Times New Roman" w:hAnsi="Times New Roman"/>
        </w:rPr>
      </w:pPr>
    </w:p>
    <w:p w:rsidR="00DA414B" w:rsidRPr="00DA414B" w:rsidRDefault="00DA414B" w:rsidP="00DA414B">
      <w:pPr>
        <w:spacing w:after="0"/>
        <w:rPr>
          <w:rFonts w:ascii="Times New Roman" w:hAnsi="Times New Roman"/>
        </w:rPr>
      </w:pPr>
      <w:r w:rsidRPr="00DA414B">
        <w:rPr>
          <w:rFonts w:ascii="Times New Roman" w:hAnsi="Times New Roman"/>
        </w:rPr>
        <w:t>Apartmanház bevétel bruttó 3.925.801 ft</w:t>
      </w:r>
    </w:p>
    <w:p w:rsidR="00DA414B" w:rsidRDefault="00DA414B" w:rsidP="00DA414B">
      <w:pPr>
        <w:spacing w:after="0"/>
        <w:rPr>
          <w:rFonts w:ascii="Times New Roman" w:hAnsi="Times New Roman"/>
        </w:rPr>
      </w:pPr>
    </w:p>
    <w:p w:rsidR="00DA414B" w:rsidRPr="00DA414B" w:rsidRDefault="00DA414B" w:rsidP="00DA414B">
      <w:pPr>
        <w:spacing w:after="0"/>
        <w:rPr>
          <w:rFonts w:ascii="Times New Roman" w:hAnsi="Times New Roman"/>
        </w:rPr>
      </w:pPr>
      <w:r w:rsidRPr="00DA414B">
        <w:rPr>
          <w:rFonts w:ascii="Times New Roman" w:hAnsi="Times New Roman"/>
        </w:rPr>
        <w:t>Fenntartási időszakban fix kiadások (20 hónap)</w:t>
      </w:r>
    </w:p>
    <w:tbl>
      <w:tblPr>
        <w:tblW w:w="5540" w:type="dxa"/>
        <w:tblCellMar>
          <w:left w:w="70" w:type="dxa"/>
          <w:right w:w="70" w:type="dxa"/>
        </w:tblCellMar>
        <w:tblLook w:val="04A0"/>
      </w:tblPr>
      <w:tblGrid>
        <w:gridCol w:w="3780"/>
        <w:gridCol w:w="1760"/>
      </w:tblGrid>
      <w:tr w:rsidR="00DA414B" w:rsidRPr="00DA414B" w:rsidTr="00DA414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Havi kiadások (becsült számok)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  <w:tr w:rsidR="00DA414B" w:rsidRPr="00DA414B" w:rsidTr="00DA414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bérek (bruttó)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1 800 000 Ft</w:t>
            </w:r>
          </w:p>
        </w:tc>
      </w:tr>
      <w:tr w:rsidR="00DA414B" w:rsidRPr="00DA414B" w:rsidTr="00DA414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Könyvelés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60 000 Ft</w:t>
            </w:r>
          </w:p>
        </w:tc>
        <w:bookmarkStart w:id="0" w:name="_GoBack"/>
        <w:bookmarkEnd w:id="0"/>
      </w:tr>
      <w:tr w:rsidR="00DA414B" w:rsidRPr="00DA414B" w:rsidTr="00DA414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Munkavédelem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25 400 Ft</w:t>
            </w:r>
          </w:p>
        </w:tc>
      </w:tr>
      <w:tr w:rsidR="00DA414B" w:rsidRPr="00DA414B" w:rsidTr="00DA414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Eszközök, szerszámok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color w:val="000000"/>
                <w:lang w:eastAsia="hu-HU"/>
              </w:rPr>
              <w:t>40 000 Ft</w:t>
            </w:r>
          </w:p>
        </w:tc>
      </w:tr>
      <w:tr w:rsidR="00DA414B" w:rsidRPr="00DA414B" w:rsidTr="00DA414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14B" w:rsidRPr="00DA414B" w:rsidRDefault="00DA414B" w:rsidP="00DA41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DA414B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1 925 400 Ft</w:t>
            </w:r>
          </w:p>
        </w:tc>
      </w:tr>
    </w:tbl>
    <w:p w:rsidR="00DA414B" w:rsidRPr="00DA414B" w:rsidRDefault="00DA414B" w:rsidP="00DA414B">
      <w:pPr>
        <w:spacing w:after="0"/>
        <w:rPr>
          <w:rFonts w:ascii="Times New Roman" w:hAnsi="Times New Roman"/>
        </w:rPr>
      </w:pPr>
    </w:p>
    <w:p w:rsidR="00DA414B" w:rsidRPr="00DA414B" w:rsidRDefault="00DA414B" w:rsidP="00DA414B">
      <w:pPr>
        <w:spacing w:after="0"/>
        <w:rPr>
          <w:rFonts w:ascii="Times New Roman" w:hAnsi="Times New Roman"/>
        </w:rPr>
      </w:pPr>
    </w:p>
    <w:sectPr w:rsidR="00DA414B" w:rsidRPr="00DA414B" w:rsidSect="003A4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A5705"/>
    <w:multiLevelType w:val="hybridMultilevel"/>
    <w:tmpl w:val="2904C9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4B7B91"/>
    <w:rsid w:val="00041BAC"/>
    <w:rsid w:val="0005183B"/>
    <w:rsid w:val="00054FC0"/>
    <w:rsid w:val="00091321"/>
    <w:rsid w:val="000C2955"/>
    <w:rsid w:val="001330F4"/>
    <w:rsid w:val="00167323"/>
    <w:rsid w:val="0019251C"/>
    <w:rsid w:val="0021667F"/>
    <w:rsid w:val="00231C4F"/>
    <w:rsid w:val="00251173"/>
    <w:rsid w:val="002522ED"/>
    <w:rsid w:val="002F0728"/>
    <w:rsid w:val="003A4726"/>
    <w:rsid w:val="004372F7"/>
    <w:rsid w:val="004455B1"/>
    <w:rsid w:val="0049418E"/>
    <w:rsid w:val="004B7B91"/>
    <w:rsid w:val="0050736A"/>
    <w:rsid w:val="005153B3"/>
    <w:rsid w:val="005655F9"/>
    <w:rsid w:val="005E316E"/>
    <w:rsid w:val="00612939"/>
    <w:rsid w:val="00656C8D"/>
    <w:rsid w:val="006B5F8F"/>
    <w:rsid w:val="006D58B6"/>
    <w:rsid w:val="007513DC"/>
    <w:rsid w:val="00886147"/>
    <w:rsid w:val="00892AB7"/>
    <w:rsid w:val="00893888"/>
    <w:rsid w:val="008B74D5"/>
    <w:rsid w:val="008E076C"/>
    <w:rsid w:val="009662A4"/>
    <w:rsid w:val="00993924"/>
    <w:rsid w:val="009F667A"/>
    <w:rsid w:val="00A20BBD"/>
    <w:rsid w:val="00A94D39"/>
    <w:rsid w:val="00AA6DF7"/>
    <w:rsid w:val="00AC3108"/>
    <w:rsid w:val="00B0168A"/>
    <w:rsid w:val="00B94F90"/>
    <w:rsid w:val="00BD32EB"/>
    <w:rsid w:val="00C13131"/>
    <w:rsid w:val="00C272FC"/>
    <w:rsid w:val="00CB5AC9"/>
    <w:rsid w:val="00CE3925"/>
    <w:rsid w:val="00CF2E9D"/>
    <w:rsid w:val="00D1246E"/>
    <w:rsid w:val="00D55108"/>
    <w:rsid w:val="00D81BB2"/>
    <w:rsid w:val="00D922D5"/>
    <w:rsid w:val="00D94DCD"/>
    <w:rsid w:val="00D94E69"/>
    <w:rsid w:val="00DA414B"/>
    <w:rsid w:val="00DD2924"/>
    <w:rsid w:val="00E66271"/>
    <w:rsid w:val="00E748D4"/>
    <w:rsid w:val="00E80DCE"/>
    <w:rsid w:val="00E852E4"/>
    <w:rsid w:val="00EB2429"/>
    <w:rsid w:val="00ED344E"/>
    <w:rsid w:val="00ED7BAD"/>
    <w:rsid w:val="00F82C93"/>
    <w:rsid w:val="00F83D26"/>
    <w:rsid w:val="00F8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AC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A414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A41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472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3A472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3A4726"/>
    <w:rPr>
      <w:color w:val="0000FF"/>
      <w:u w:val="single"/>
    </w:rPr>
  </w:style>
  <w:style w:type="table" w:styleId="Rcsostblzat">
    <w:name w:val="Table Grid"/>
    <w:basedOn w:val="Normltblzat"/>
    <w:uiPriority w:val="39"/>
    <w:rsid w:val="00445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56C8D"/>
    <w:pPr>
      <w:spacing w:after="160" w:line="256" w:lineRule="auto"/>
      <w:ind w:left="720"/>
      <w:contextualSpacing/>
    </w:pPr>
    <w:rPr>
      <w:lang/>
    </w:rPr>
  </w:style>
  <w:style w:type="character" w:customStyle="1" w:styleId="Cmsor1Char">
    <w:name w:val="Címsor 1 Char"/>
    <w:basedOn w:val="Bekezdsalapbettpusa"/>
    <w:link w:val="Cmsor1"/>
    <w:rsid w:val="00DA414B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basedOn w:val="Bekezdsalapbettpusa"/>
    <w:link w:val="Cmsor2"/>
    <w:rsid w:val="00DA414B"/>
    <w:rPr>
      <w:rFonts w:ascii="Times New Roman" w:eastAsia="Times New Roman" w:hAnsi="Times New Roman"/>
      <w:b/>
      <w:sz w:val="24"/>
      <w:szCs w:val="24"/>
    </w:rPr>
  </w:style>
  <w:style w:type="paragraph" w:styleId="Szvegtrzs">
    <w:name w:val="Body Text"/>
    <w:basedOn w:val="Norml"/>
    <w:link w:val="SzvegtrzsChar"/>
    <w:rsid w:val="00DA41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A414B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rsid w:val="00DA41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DA414B"/>
    <w:rPr>
      <w:rFonts w:ascii="Times New Roman" w:eastAsia="Times New Roman" w:hAnsi="Times New Roman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DA414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egvaro@csongradivendegvaro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umok\SZOVETKEZET\LEVELEZES\Csongr&#225;di%20Vend&#233;gv&#225;r&#243;%20Szolg&#225;ltat&#243;%20Szoci&#225;lis%20Sz&#246;vetkeze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Csongrádi Vendégváró Szolgáltató Szociális Szövetkeze1</Template>
  <TotalTime>2</TotalTime>
  <Pages>3</Pages>
  <Words>748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5904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mailto:vendegvaro@csongradivendegvaro.hu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szvoblas</cp:lastModifiedBy>
  <cp:revision>2</cp:revision>
  <cp:lastPrinted>2019-09-19T11:46:00Z</cp:lastPrinted>
  <dcterms:created xsi:type="dcterms:W3CDTF">2019-09-19T14:22:00Z</dcterms:created>
  <dcterms:modified xsi:type="dcterms:W3CDTF">2019-09-19T14:22:00Z</dcterms:modified>
</cp:coreProperties>
</file>