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AD" w:rsidRPr="00C4357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C568AD" w:rsidRPr="00C4357D" w:rsidRDefault="00961ABD" w:rsidP="00C568AD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REF/73</w:t>
      </w:r>
      <w:r w:rsidR="00DF77E9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-3</w:t>
      </w: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/2021</w:t>
      </w:r>
      <w:r w:rsidR="00C568AD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C568AD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„M”</w:t>
      </w:r>
    </w:p>
    <w:p w:rsidR="00C568AD" w:rsidRPr="00C4357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C568AD" w:rsidRPr="00C4357D" w:rsidRDefault="00C568AD" w:rsidP="00C56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C568AD" w:rsidRPr="00C4357D" w:rsidRDefault="00C568AD" w:rsidP="00C568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C568AD" w:rsidRPr="00C4357D" w:rsidRDefault="00961ABD" w:rsidP="00C568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2021. augusztus 26-a</w:t>
      </w:r>
      <w:r w:rsidR="00C568AD" w:rsidRPr="00C435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i ülésére</w:t>
      </w:r>
    </w:p>
    <w:p w:rsidR="00C568AD" w:rsidRPr="00C4357D" w:rsidRDefault="00C568AD" w:rsidP="00C568A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:rsidR="00C568AD" w:rsidRPr="00C4357D" w:rsidRDefault="00C568AD" w:rsidP="00C568A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 az I. sz. fogászati</w:t>
      </w:r>
      <w:r w:rsidR="00961ABD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körzet feladat - ellátási szerződésének módosítására</w:t>
      </w:r>
    </w:p>
    <w:p w:rsidR="00C568AD" w:rsidRPr="00C4357D" w:rsidRDefault="00C568AD" w:rsidP="00C568A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C568AD" w:rsidRPr="00C4357D" w:rsidRDefault="00C568AD" w:rsidP="00C568AD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C4357D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5260E9" w:rsidRPr="00C4357D" w:rsidRDefault="00E61CC5" w:rsidP="00C4357D">
      <w:pPr>
        <w:suppressAutoHyphens/>
        <w:spacing w:before="120"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C</w:t>
      </w:r>
      <w:r w:rsidR="005260E9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songrád Város közigazgatási területén az I.sz. fogorvosi alapellátó körzet működtetője</w:t>
      </w:r>
      <w:r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</w:t>
      </w:r>
      <w:r w:rsidR="005260E9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106/2020. (IX.30.) önkormányzati határozat </w:t>
      </w:r>
      <w:r w:rsidR="00991BFF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felhatalmazásával</w:t>
      </w:r>
      <w:r w:rsidR="005260E9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megkötött feladat – ellátási szerződés aláírásával</w:t>
      </w:r>
      <w:r w:rsidR="00C4357D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5260E9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Medenta Korlátolt Felelősségű Társaság (továbbiakban Kft.)</w:t>
      </w:r>
      <w:r w:rsidR="00C4357D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  <w:r w:rsidR="005260E9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Kft. érvényes működési engedéllyel és a Nemzeti Egészségbiztosítási Alapkezelővel kötött </w:t>
      </w:r>
      <w:proofErr w:type="gramStart"/>
      <w:r w:rsidR="005260E9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finanszírozási</w:t>
      </w:r>
      <w:proofErr w:type="gramEnd"/>
      <w:r w:rsidR="005260E9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szerződéssel </w:t>
      </w:r>
      <w:r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rendelkezik.</w:t>
      </w:r>
    </w:p>
    <w:p w:rsidR="00172802" w:rsidRPr="00C4357D" w:rsidRDefault="00C568AD" w:rsidP="00C435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Dr. </w:t>
      </w:r>
      <w:r w:rsidR="00172802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Horváth Vanda fogorvos</w:t>
      </w:r>
      <w:r w:rsidR="00C4357D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172802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I.sz. fogorvosi alapellátó körzetet működtető Kft. ügyvezetője írásban tájékoztatta a polgármestert</w:t>
      </w:r>
      <w:r w:rsidR="005260E9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hogy a</w:t>
      </w:r>
      <w:r w:rsidR="00172802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cég </w:t>
      </w:r>
      <w:r w:rsidR="00C57C9D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alap</w:t>
      </w:r>
      <w:r w:rsidR="00172802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adataiban változás következett be</w:t>
      </w:r>
      <w:r w:rsidR="005260E9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E</w:t>
      </w:r>
      <w:r w:rsidR="00172802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nnek kapcsán </w:t>
      </w:r>
      <w:r w:rsidR="005260E9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kéri </w:t>
      </w:r>
      <w:r w:rsidR="00172802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Csongrád Városi Önkormányzat és a Kft. között megkötött feladat-ellát</w:t>
      </w:r>
      <w:r w:rsidR="005260E9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ási szerződés módosítását</w:t>
      </w:r>
      <w:r w:rsidR="00172802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5260E9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feladatellátást biztosító szer</w:t>
      </w:r>
      <w:r w:rsidR="00856A58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ződés módosítására kizárólag a K</w:t>
      </w:r>
      <w:r w:rsidR="005260E9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épviselő-testület </w:t>
      </w:r>
      <w:r w:rsidR="00856A58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határozata után jogosult a polgármester.</w:t>
      </w:r>
    </w:p>
    <w:p w:rsidR="00172802" w:rsidRPr="00C4357D" w:rsidRDefault="00172802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I. sz. fogorvosi körzetet működtető Medenta Kft. ügyvezetőjének a személye</w:t>
      </w:r>
      <w:r w:rsidR="00856A58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Kft. székhelye változott.</w:t>
      </w:r>
    </w:p>
    <w:p w:rsidR="00172802" w:rsidRPr="00C4357D" w:rsidRDefault="00172802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Név: Medenta Korlátolt Felelősségű Társaság – rövidítve Medenta Kft.</w:t>
      </w:r>
      <w:r w:rsidR="00C57C9D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172802" w:rsidRPr="00C4357D" w:rsidRDefault="005260E9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Székhelye: 6640 Csongrád</w:t>
      </w:r>
      <w:r w:rsidR="00C4357D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Halpiac u 7.</w:t>
      </w:r>
    </w:p>
    <w:p w:rsidR="005260E9" w:rsidRPr="00C4357D" w:rsidRDefault="005260E9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Ügyvezető: Dr. Horváth Vanda fogorvos</w:t>
      </w:r>
    </w:p>
    <w:p w:rsidR="005260E9" w:rsidRPr="00C4357D" w:rsidRDefault="005260E9" w:rsidP="00C568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856A58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felada</w:t>
      </w:r>
      <w:r w:rsidR="00AC3EA4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t-ellátási szerződés egyéb feltételekben</w:t>
      </w:r>
      <w:r w:rsidR="00856A58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változatlanul marad.</w:t>
      </w:r>
    </w:p>
    <w:p w:rsidR="00C568AD" w:rsidRPr="00C4357D" w:rsidRDefault="00C568AD" w:rsidP="00C4357D">
      <w:pPr>
        <w:suppressAutoHyphens/>
        <w:spacing w:before="120"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</w:t>
      </w:r>
      <w:r w:rsidR="00C4357D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atározati javaslat elfogadására.</w:t>
      </w:r>
    </w:p>
    <w:p w:rsidR="00C568AD" w:rsidRPr="00C4357D" w:rsidRDefault="00C568AD" w:rsidP="00C56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C568AD" w:rsidRPr="00C4357D" w:rsidRDefault="00C568AD" w:rsidP="00C56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</w:p>
    <w:p w:rsidR="00C568AD" w:rsidRPr="00C4357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Képviselő-testülete megtárgyalta a „</w:t>
      </w:r>
      <w:r w:rsidR="00856A58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Javaslat az I. sz. fogászati körzet feladat - ellátási szerződésének </w:t>
      </w:r>
      <w:r w:rsidR="004370E0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módosítására</w:t>
      </w:r>
      <w:r w:rsidR="00C4357D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</w:t>
      </w:r>
      <w:r w:rsidR="004370E0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tárgyú</w:t>
      </w:r>
      <w:r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előterjesztést és az alábbi döntést hozza:</w:t>
      </w:r>
    </w:p>
    <w:p w:rsidR="00C568AD" w:rsidRDefault="00C568AD" w:rsidP="00C4357D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Képviselő</w:t>
      </w:r>
      <w:r w:rsidR="00C57C9D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–</w:t>
      </w:r>
      <w:r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testülete</w:t>
      </w:r>
      <w:r w:rsidR="00C57C9D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hozzájárul</w:t>
      </w:r>
      <w:r w:rsidR="009013FD"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az I. sz. fogászati körzetben</w:t>
      </w:r>
      <w:r w:rsidRPr="00C4357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megvalósuló feladatellátáshoz az előterjesztés melléklete szerinti tartalommal, elfogadja az </w:t>
      </w:r>
      <w:r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I. sz. fogászati körzet ellátását biztosí</w:t>
      </w:r>
      <w:r w:rsidR="004370E0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tó feladat - ellátási szerződés módosítását.</w:t>
      </w:r>
    </w:p>
    <w:p w:rsidR="00F368D2" w:rsidRPr="00C4357D" w:rsidRDefault="00F368D2" w:rsidP="00F368D2">
      <w:pPr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4357D" w:rsidRDefault="00C568AD" w:rsidP="00F368D2">
      <w:pPr>
        <w:numPr>
          <w:ilvl w:val="0"/>
          <w:numId w:val="2"/>
        </w:numPr>
        <w:suppressAutoHyphens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felhatalmazza a polgármestert az előterjesztés mellékletét képező </w:t>
      </w:r>
      <w:r w:rsidR="00856A58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módosított </w:t>
      </w:r>
      <w:r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feladat-ellátási szerződés </w:t>
      </w:r>
      <w:r w:rsidR="00856A58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aláírására.</w:t>
      </w:r>
      <w:r w:rsidR="00952BCD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Kft. az aláírt módosított feladat-ellátási szerződést haladéktalanul nyújtsa be a Csongrád-Csanád Megyei Kormányhivatal Népegészségügyi Osztályára a működési engedély </w:t>
      </w:r>
      <w:r w:rsidR="000C0516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módosításához</w:t>
      </w:r>
      <w:r w:rsidR="00952BCD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a Nemzeti Egészségbiztosítási Alapkezelő részére a </w:t>
      </w:r>
      <w:proofErr w:type="gramStart"/>
      <w:r w:rsidR="00952BCD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 w:rsidR="00952BCD"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 módosítása érdekében. </w:t>
      </w:r>
    </w:p>
    <w:p w:rsidR="00C568AD" w:rsidRPr="00C4357D" w:rsidRDefault="00C568AD" w:rsidP="00F368D2">
      <w:pPr>
        <w:suppressAutoHyphens/>
        <w:spacing w:before="120"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952BCD" w:rsidRPr="00C4357D" w:rsidRDefault="00952BCD" w:rsidP="00C4357D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Dr. Horváth Vanda Medenta Kft. ügyvezető</w:t>
      </w:r>
    </w:p>
    <w:p w:rsidR="00C568AD" w:rsidRPr="00C4357D" w:rsidRDefault="00C568AD" w:rsidP="00C4357D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C4357D"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C568AD" w:rsidRPr="00C4357D" w:rsidRDefault="00C568AD" w:rsidP="00C568A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568AD" w:rsidRPr="00C4357D" w:rsidRDefault="00C568AD" w:rsidP="00C568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C568AD" w:rsidRPr="00C4357D" w:rsidRDefault="00C568AD" w:rsidP="00C568A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856A58" w:rsidRPr="00C4357D" w:rsidRDefault="00856A58" w:rsidP="00C568A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Dr. Horváth Vanda ügyvezető</w:t>
      </w:r>
      <w:r w:rsidR="004370E0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fogorvos</w:t>
      </w:r>
    </w:p>
    <w:p w:rsidR="00856A58" w:rsidRPr="00C4357D" w:rsidRDefault="00856A58" w:rsidP="00C568AD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Egészségügyi referens</w:t>
      </w:r>
    </w:p>
    <w:p w:rsidR="00F368D2" w:rsidRDefault="00856A58" w:rsidP="00C4357D">
      <w:pPr>
        <w:spacing w:before="120"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Csongrád, 2021. augusztus 17</w:t>
      </w:r>
      <w:r w:rsidR="00C568AD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C568AD"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Bedő Tamás</w:t>
      </w:r>
    </w:p>
    <w:p w:rsidR="00C568AD" w:rsidRPr="00C4357D" w:rsidRDefault="00C568AD" w:rsidP="00C568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      </w:t>
      </w:r>
      <w:proofErr w:type="gramStart"/>
      <w:r w:rsidRPr="00C435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C568AD" w:rsidRPr="00C568AD" w:rsidRDefault="00DF77E9" w:rsidP="00C568AD">
      <w:pPr>
        <w:keepNext/>
        <w:spacing w:after="0" w:line="240" w:lineRule="auto"/>
        <w:ind w:left="4248" w:firstLine="708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REF/73-3/2021</w:t>
      </w:r>
      <w:r w:rsidR="00C568AD" w:rsidRPr="00C568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.előterjesztés melléklete</w:t>
      </w:r>
    </w:p>
    <w:p w:rsidR="00C568AD" w:rsidRPr="00C568AD" w:rsidRDefault="00C568AD" w:rsidP="00C568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</w:pPr>
    </w:p>
    <w:p w:rsidR="00C568AD" w:rsidRPr="00BB6AE9" w:rsidRDefault="00C568AD" w:rsidP="00C568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</w:pPr>
      <w:r w:rsidRPr="00BB6AE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>(tervezet)</w:t>
      </w:r>
    </w:p>
    <w:p w:rsidR="00C568AD" w:rsidRPr="00BB6AE9" w:rsidRDefault="00BB6AE9" w:rsidP="00BB6A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</w:pPr>
      <w:r w:rsidRPr="00BB6AE9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>Módosított</w:t>
      </w:r>
    </w:p>
    <w:p w:rsidR="00C568AD" w:rsidRPr="00C568AD" w:rsidRDefault="00C568AD" w:rsidP="00C568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</w:pPr>
      <w:r w:rsidRPr="00C568AD"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  <w:t>Feladat- ellátási szerződés</w:t>
      </w:r>
    </w:p>
    <w:p w:rsidR="007A0E0A" w:rsidRDefault="007A0E0A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létrejött </w:t>
      </w:r>
      <w:r w:rsidRPr="00C568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Csongrád, Kossuth tér 7. képviseletében, a ……………………………………… önkormányzati határozatában foglalt felhatalmazás alapján Bedő Tamás polgármester, másrészről </w:t>
      </w:r>
      <w:r w:rsidR="00DF77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Medenta Kft. 6640. Csongrád Halpiac u 7.</w:t>
      </w:r>
      <w:r w:rsidRPr="00C568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 Társaság) képviseletében</w:t>
      </w:r>
      <w:r w:rsidR="00DF77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Dr. Horváth Vanda</w:t>
      </w:r>
      <w:r w:rsidRPr="00C568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ügyvezető</w:t>
      </w:r>
      <w:r w:rsidRPr="00C568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között, Csongrád város 1. sz. fogorvosi körzetében, fogászati egészségügyi alapellátás feladatainak, vállalkozás keretén belül történő működtetésére alulírott napon és helyen, a következő feltételekkel.</w:t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feladat - ellátási szerződésben foglalt kötelezettség teljesítésében köteles személyesen eljárni. Ezek teljesítéséért személyes felelősség terheli. </w:t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a 4/2000. (II.24.) EüM. rendeletben szabályozott feltételek figyelembe vételével, alkalmazásával, a fogorvosi feladatok egészségügyi vállalkozás keretében történő ellátására szerződést kötnek. </w:t>
      </w:r>
    </w:p>
    <w:p w:rsidR="00C568AD" w:rsidRPr="00C568AD" w:rsidRDefault="00C568AD" w:rsidP="00C568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orvosi tevékenységet a Társaság alkalmazottja, Dr. </w:t>
      </w:r>
      <w:proofErr w:type="spellStart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Rahbari</w:t>
      </w:r>
      <w:proofErr w:type="spellEnd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Ali fogorvos végzi.</w:t>
      </w: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pecsétszáma: 85973</w:t>
      </w:r>
    </w:p>
    <w:p w:rsidR="00C568AD" w:rsidRPr="00C568AD" w:rsidRDefault="00C568AD" w:rsidP="00C568AD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megállapodásra a Magyarország helyi önkormányzatairól szóló 2011. évi CLXXXIX. törvény; az egészségügyről szóló 1997. évi CLIV. törvény; a kötelező egészségbiztosítás ellátásairól szóló 1997. évi LXXXIII. törvény; az egészségügyi közszolgáltatások nyújtásáról, valamint az egészségügyi alapellátásról szóló 2015. évi CXXIII. tv</w:t>
      </w:r>
      <w:proofErr w:type="gramStart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.;</w:t>
      </w:r>
      <w:proofErr w:type="gramEnd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257/2001. (XII. 19.) Korm. rendelettel módosított, az egészségügyi alapból történő finanszírozás részletes szabályairól szóló 43/1999. (III.03.) Korm. rendelet az irányadó.</w:t>
      </w:r>
    </w:p>
    <w:p w:rsidR="00C568AD" w:rsidRPr="00C568AD" w:rsidRDefault="00C568AD" w:rsidP="00C568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 - 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C568AD" w:rsidRPr="00C568AD" w:rsidRDefault="00C568AD" w:rsidP="00C568AD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a megállapodásban foglalt fe</w:t>
      </w:r>
      <w:r w:rsidR="00F26CFB">
        <w:rPr>
          <w:rFonts w:ascii="Times New Roman" w:eastAsia="Times New Roman" w:hAnsi="Times New Roman" w:cs="Times New Roman"/>
          <w:sz w:val="24"/>
          <w:szCs w:val="24"/>
          <w:lang w:eastAsia="hu-HU"/>
        </w:rPr>
        <w:t>ltételek fennállása esetén, 2021. augusztus 26-tó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l, határozatlan időtartamra hozzájárul a városban működő 1. sz. fogorvosi vegyes körzet (felnőtt és 0-18 éves korú) lakossága gyógyító és megelőző fogorvosi alapellátásának területi ellátási kötelezettséggel a Társaság általi, vállalkozás keretében történő működtetéséhez azzal, hogy jelen megállapodás a Nemzeti Egészségbiztosítási Alapkezelővel kötött finanszírozási szerződéssel, a szükséges működési engedélyen utcanévjegyzékkel, melyre a területi ellátási kötelezettség kiterjed és az orvosi</w:t>
      </w:r>
      <w:proofErr w:type="gramEnd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felelősségbiztosítás szerződéssel együtt érvényes. </w:t>
      </w: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egészségügyi alapellátásra vonatkozó fogorvosi körzethatárok módosítása, új körzet kialakítása a Képviselő-testület hatásköre, melyet a praxis jog tulajdonosa és a Társaság tudomásul vesz. </w:t>
      </w:r>
    </w:p>
    <w:p w:rsidR="00C568AD" w:rsidRPr="00C568AD" w:rsidRDefault="00C568AD" w:rsidP="00C568AD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a 1. számú fogorvosi alapellátási körzet lakosságának fogászati alapellátása érdekében a Társaság részére folyamatosan biztosítja a Dr. Szarka Ödön Egyesített Egészségügyi és Szociális Intézmény használatában lévő, Csongrád, Gyöngyvirág u. 5. szám alatti épületben biztosított rendelőhelyiség (továbbiakban fogorvosi rendelő) időben elkülönített, rendeltetésszerű működéséhez szükséges egyéb helyiségek közös h</w:t>
      </w:r>
      <w:r w:rsidR="003A26D1">
        <w:rPr>
          <w:rFonts w:ascii="Times New Roman" w:eastAsia="Times New Roman" w:hAnsi="Times New Roman" w:cs="Times New Roman"/>
          <w:sz w:val="24"/>
          <w:szCs w:val="24"/>
          <w:lang w:eastAsia="hu-HU"/>
        </w:rPr>
        <w:t>asználatát térítésmentesen, 2021. augusztus 26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napjától kezdődően. </w:t>
      </w: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fogorvosi rendelő térítésmentes használatára a Társaság illetve vele munkaszerződésben álló alkalmazottai jogosultak. A használatba adás egyéb részletes feltételeit a Dr. Szarka Ödön Egyesített Egészségügyi és Szociális Intézménnyel kötött megállapodás tartalmazza.</w:t>
      </w: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fogorvosi rendelőben az orvosi gépek, műszerek javítása, felújítása, esetleges pótlása a Társaság feladata. Amennyiben a szokásostól eltérő mértékű, rendkívüli kiadással járó javítás, pótlás szükségessége merülne fel, erre nézve a felek külön megállapodása lesz irányadó. A szerződés megszűnése esetén az alapellátáshoz szükséges, a Társaság által vásárolt és tulajdonát képező gépek, műszerek vételét felajánlhatja az önkormányzatnak. 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Dr. Szarka Ödön Egyesített Egészségügyi és Szociális Intézmény a Társaság terhére, a felek által megállapított és kölcsönösen elfogadott költségfelosztási elvek szerint, az igénybevett szolgáltatások után, a fogászati rendelőre jutó költségeket áthárítja.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költségeket a Társaság a részére kibocsátott számla alapján 8 napon belül köteles átutalni a Dr. Szarka Ödön Egyesített Egészségügyi Intézmény részére.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fentieket és egyéb, az intézményt és a Társaságot érintő kérdéseket külön megállapodásban kell rendezni. 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a más szolgáltatókkal vagy az intézmény alkalmazottaival közösen használt helyiségek, berendezési tárgyak, eszközök, műszerek karbantartásának, javításának rendjéről, közösen viselt felelősségről köteles a többi szolgáltatóval, illetve intézménnyel megállapodni és ezeket a szerződéseket az önkormányzatnak és az intézménynek bemutatni. 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jogosult saját költségén a fűtés-, és az áramfogyasztás önálló mérését lehetővé tevő technikai megoldást alkalmazni, (</w:t>
      </w:r>
      <w:proofErr w:type="spellStart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almérő</w:t>
      </w:r>
      <w:proofErr w:type="spellEnd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felszerelése vagy más módon), mely esetben </w:t>
      </w:r>
      <w:proofErr w:type="gramStart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költségeket a mért fogyasztás alapján köteles megfizetni.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fogorvosi ellátáshoz szükséges alapanyagokat és segédanyagokat a Társaság biztosítja. 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fogászati rendelő rendeltetésszerű használata mellett szokásos felújításának, karbantartásának költsége a Társaságot terheli. 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rendeltetésszerű használat mellett a szokásostól eltérő mértékű, rendkívüli kiadással járó felújítás szükségessége merülne fel, erre nézve a felek külön megállapodása lesz irányadó. 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az önkormányzattal egyeztetett rendelési idejét köteles kifüggeszteni és betartani. A Társaság a rendelőben köteles jól látható hirdetményben tételesen felsorolni azokat a fogászati szolgáltatásokat, melyek a biztosítottak részére az alapellátás körében térítésmentesen vehetők igénybe, és azokat is – a díjak megjelölésével, - melyek térítéskötelesek. A Társaság szolgáltatásainak, rendeletekben nem szabályozott körben, díjtételeit maga szabadon állapítja meg.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köteles a jogszabályokban előírt nyilvántartások vezetésére, az adatok megőrzésére és a személyiségi jogok védelméről szóló rendelkezések maradéktalan betartására. </w:t>
      </w:r>
    </w:p>
    <w:p w:rsidR="00C568AD" w:rsidRPr="00C568AD" w:rsidRDefault="00C568AD" w:rsidP="00C568AD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fogászati ellátást a Társaság alkalmazásában álló fogorvos, fogászati tevékenységet végző fogászati szakasszisztenssel együttműködve végzi és ellátja annak szakmai felügyeletét. Erre vonatkozó megfelelő foglalkoztatási ajánlatot a Társaság elsőként a feladatot jelenleg is ellátó szakdolgozónak teszi, majd vállalja a szakdolgozó alkalmazását.</w:t>
      </w:r>
    </w:p>
    <w:p w:rsidR="00C568AD" w:rsidRPr="00C568AD" w:rsidRDefault="00C568AD" w:rsidP="00C568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kötelezettséget vállal arra, hogy a jelen megállapodásban meghatározott működési területén a Nemzeti Egészségbiztosítási Alapkezelővel kötött finanszírozási szerződés alapján a fogászati szolgáltatás feladatainak a mindenkor érvényes jogszabályok és szakmai előírások szerint eleget tesz. </w:t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vállalkozó orvos elsődleges, személyes és folyamatos ellátást nyújt a fogászati egészségi állapot megőrzése, a fogbetegségek megelőzése és gyógyítása céljából.</w:t>
      </w: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Társaságon belül megszervezi a fogorvos helyettesítését. Az alkalmazott fogorvos helyettesítését csak olyan orvos láthatja el, aki a feladatkörre előírt feltételekkel rendelkezik. </w:t>
      </w: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a helyettesítés pénzügyi feltételeinek megteremtéséért, és a helyettesítést ellátó tevékenységért úgy felel, mint a sajátjáért.</w:t>
      </w: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numPr>
          <w:ilvl w:val="0"/>
          <w:numId w:val="3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tudomásul veszi, hogy a Nemzeti Egészségbiztosítási Alapkezelő jelen szerződés hatálybalépését követően az egészségbiztosítási támogatási összegeket közvetlenül a Társaság részére utalja át. </w:t>
      </w:r>
    </w:p>
    <w:p w:rsidR="00C568AD" w:rsidRPr="00C568AD" w:rsidRDefault="00C568AD" w:rsidP="00C568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szakmai felügyeletét a Csongrád</w:t>
      </w:r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Csanád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Megyei Kormányhivatal Szentes Járási Hivatal Népegészségügyi Szakigazgatási Szerve és a Nemzeti Egészségbiztosítási Alapkezelő látja el, az utóbbi finanszírozásában való részvétele miatt érvényesítheti a meghatározott jogát. </w:t>
      </w:r>
    </w:p>
    <w:p w:rsidR="00C568AD" w:rsidRPr="00C568AD" w:rsidRDefault="00C568AD" w:rsidP="00C568AD">
      <w:pPr>
        <w:spacing w:before="120"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Társaság szakmai munkáját nem találják megfelelőnek, akkor az önkormányzat kezdeményezi a szerződés felbontását. </w:t>
      </w:r>
    </w:p>
    <w:p w:rsidR="00C568AD" w:rsidRPr="00C568AD" w:rsidRDefault="00C568AD" w:rsidP="00C568AD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jelen határozatlan időre szóló feladat - ellátási szerződést 60 napos felmondási idővel jogosultak felmondani. </w:t>
      </w:r>
    </w:p>
    <w:p w:rsidR="00C568AD" w:rsidRPr="00C568AD" w:rsidRDefault="00C568AD" w:rsidP="00C568AD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 ellátási szerződést indokolással akkor mondhatja fel, ha </w:t>
      </w:r>
    </w:p>
    <w:p w:rsidR="00C568AD" w:rsidRPr="00C568AD" w:rsidRDefault="00C568AD" w:rsidP="00C568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 a feladat - ellátási szerződésben vállalt kötelezettségeit írásbeli felszólítás ellenére sem teljesíti, vagy folytatólagosan megszegi a jogszabályban foglalt működésre vonatkozó előírásokat,</w:t>
      </w:r>
    </w:p>
    <w:p w:rsidR="00C568AD" w:rsidRPr="00C568AD" w:rsidRDefault="00C568AD" w:rsidP="00C568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Társaság önálló egészségügyi tevékenység végzésére való jogosultságát bármely okból elveszti. </w:t>
      </w:r>
    </w:p>
    <w:p w:rsidR="00C568AD" w:rsidRPr="00C568AD" w:rsidRDefault="00C568AD" w:rsidP="00C568AD">
      <w:pPr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 - ellátási szerződést a felek hat hónapos felmondási határidővel írásban mondhatják fel. </w:t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Ilyen ok hiányában jelen megállapodás hat hónapos felmondási idővel, a tárgyév végére mondható fel írásban, a másik féllel közölt egyoldalú írásbeli nyilatkozattal. A szerződés bármilyen formában történő megszüntetésekor a szerződő felek kötelesek az utolsó napon egymás felé hiánytalanul elszámolni. A Társaság köteles az általa használt helyiségeket minden további elhelyezési igény nélkül ugyanezen a napon e</w:t>
      </w:r>
      <w:r w:rsidR="009807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lhagyni. Jelen </w:t>
      </w:r>
      <w:proofErr w:type="spellStart"/>
      <w:r w:rsidR="009807B6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módosatott</w:t>
      </w:r>
      <w:proofErr w:type="spellEnd"/>
      <w:r w:rsidR="009807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megállapodás 2021. augusztus 26 - </w:t>
      </w:r>
      <w:proofErr w:type="spellStart"/>
      <w:r w:rsidR="009807B6">
        <w:rPr>
          <w:rFonts w:ascii="Times New Roman" w:eastAsia="Times New Roman" w:hAnsi="Times New Roman" w:cs="Times New Roman"/>
          <w:sz w:val="24"/>
          <w:szCs w:val="24"/>
          <w:lang w:eastAsia="hu-HU"/>
        </w:rPr>
        <w:t>tól</w:t>
      </w:r>
      <w:proofErr w:type="spellEnd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 hatályba és határozatlan időre szól. Megszüntetése, módosítása a felek közös megegyezésével írásban bármikor lehetséges.</w:t>
      </w:r>
    </w:p>
    <w:p w:rsidR="00C568AD" w:rsidRPr="00C568AD" w:rsidRDefault="00C568AD" w:rsidP="00C568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felek, kötelesek a jelen szerződésben foglaltaktól eltérő feltételéről egymást kölcsönösen tájékoztatni és egyben tudomásul veszik, hogy a szerződés módosítására, illetve felbontására a bejelentést követő 60 napon túl kerülhet csak sor.</w:t>
      </w:r>
    </w:p>
    <w:p w:rsidR="00C568AD" w:rsidRPr="00C568AD" w:rsidRDefault="00C568AD" w:rsidP="00C568A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568AD" w:rsidRPr="00C568AD" w:rsidRDefault="00C568AD" w:rsidP="00C568AD">
      <w:pPr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vállalkozást önhibáján kívül megszüntető – ideértve az estleges jogszabályváltozás miatti megszüntetést – a fogorvos esetében, Csongrád Városi Önkormányzat az akkor hatályos jogszabályok szerint jár el. </w:t>
      </w:r>
    </w:p>
    <w:p w:rsidR="00C568AD" w:rsidRPr="00C568AD" w:rsidRDefault="00C568AD" w:rsidP="00C568AD">
      <w:p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C568AD" w:rsidRPr="00C568AD" w:rsidRDefault="00C568AD" w:rsidP="00C568A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Felek a jelen megállapodásból eredő per- vagy jogvita esetére kölcsönösen a Csongrádi Járásbíróság kizárólagos illetékességét kötik ki.</w:t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E865A6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2021</w:t>
      </w:r>
      <w:r w:rsidR="00C568AD"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. ..…………..</w:t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_____________________________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</w:t>
      </w:r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Városi </w:t>
      </w:r>
      <w:proofErr w:type="gramStart"/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   Dr.</w:t>
      </w:r>
      <w:proofErr w:type="gramEnd"/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Horváth Vanda</w:t>
      </w:r>
    </w:p>
    <w:p w:rsidR="00C568AD" w:rsidRPr="00C568AD" w:rsidRDefault="00C568AD" w:rsidP="00C5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spellStart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proofErr w:type="gramStart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568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</w:t>
      </w:r>
      <w:proofErr w:type="spellStart"/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>Medenta</w:t>
      </w:r>
      <w:proofErr w:type="spellEnd"/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865A6">
        <w:rPr>
          <w:rFonts w:ascii="Times New Roman" w:eastAsia="Times New Roman" w:hAnsi="Times New Roman" w:cs="Times New Roman"/>
          <w:sz w:val="24"/>
          <w:szCs w:val="24"/>
          <w:lang w:eastAsia="hu-HU"/>
        </w:rPr>
        <w:t>Kft.ügyvezető</w:t>
      </w:r>
      <w:proofErr w:type="spellEnd"/>
    </w:p>
    <w:p w:rsidR="00C568AD" w:rsidRPr="00C568AD" w:rsidRDefault="00C568AD" w:rsidP="00C568AD">
      <w:pPr>
        <w:spacing w:after="200" w:line="276" w:lineRule="auto"/>
        <w:rPr>
          <w:rFonts w:ascii="Calibri" w:eastAsia="Calibri" w:hAnsi="Calibri" w:cs="Times New Roman"/>
        </w:rPr>
      </w:pPr>
    </w:p>
    <w:p w:rsidR="00C568AD" w:rsidRPr="00C568AD" w:rsidRDefault="00C568AD" w:rsidP="00C568AD">
      <w:pPr>
        <w:spacing w:after="200" w:line="276" w:lineRule="auto"/>
        <w:rPr>
          <w:rFonts w:ascii="Calibri" w:eastAsia="Calibri" w:hAnsi="Calibri" w:cs="Times New Roman"/>
        </w:rPr>
      </w:pPr>
    </w:p>
    <w:p w:rsidR="003D2984" w:rsidRDefault="003D2984"/>
    <w:sectPr w:rsidR="003D2984" w:rsidSect="00F368D2">
      <w:footerReference w:type="default" r:id="rId8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8E" w:rsidRDefault="0051168E">
      <w:pPr>
        <w:spacing w:after="0" w:line="240" w:lineRule="auto"/>
      </w:pPr>
      <w:r>
        <w:separator/>
      </w:r>
    </w:p>
  </w:endnote>
  <w:endnote w:type="continuationSeparator" w:id="0">
    <w:p w:rsidR="0051168E" w:rsidRDefault="0051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8D2" w:rsidRDefault="00F368D2">
    <w:pPr>
      <w:pStyle w:val="llb"/>
      <w:jc w:val="center"/>
    </w:pPr>
  </w:p>
  <w:p w:rsidR="00C07F2E" w:rsidRDefault="005607A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8E" w:rsidRDefault="0051168E">
      <w:pPr>
        <w:spacing w:after="0" w:line="240" w:lineRule="auto"/>
      </w:pPr>
      <w:r>
        <w:separator/>
      </w:r>
    </w:p>
  </w:footnote>
  <w:footnote w:type="continuationSeparator" w:id="0">
    <w:p w:rsidR="0051168E" w:rsidRDefault="00511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53D45B32"/>
    <w:lvl w:ilvl="0" w:tplc="A34663AA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15271"/>
    <w:multiLevelType w:val="hybridMultilevel"/>
    <w:tmpl w:val="4D52A52C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8AD"/>
    <w:rsid w:val="000C0516"/>
    <w:rsid w:val="00172802"/>
    <w:rsid w:val="002A09D0"/>
    <w:rsid w:val="002C1E2D"/>
    <w:rsid w:val="003A26D1"/>
    <w:rsid w:val="003D2984"/>
    <w:rsid w:val="004370E0"/>
    <w:rsid w:val="004E3756"/>
    <w:rsid w:val="0051168E"/>
    <w:rsid w:val="005260E9"/>
    <w:rsid w:val="005607A8"/>
    <w:rsid w:val="005F51AC"/>
    <w:rsid w:val="007A0E0A"/>
    <w:rsid w:val="00856A58"/>
    <w:rsid w:val="009013FD"/>
    <w:rsid w:val="00952BCD"/>
    <w:rsid w:val="00961ABD"/>
    <w:rsid w:val="009807B6"/>
    <w:rsid w:val="00991BFF"/>
    <w:rsid w:val="00AC3EA4"/>
    <w:rsid w:val="00BB6AE9"/>
    <w:rsid w:val="00C4357D"/>
    <w:rsid w:val="00C568AD"/>
    <w:rsid w:val="00C57C9D"/>
    <w:rsid w:val="00D32125"/>
    <w:rsid w:val="00DF77E9"/>
    <w:rsid w:val="00E61CC5"/>
    <w:rsid w:val="00E865A6"/>
    <w:rsid w:val="00F26CFB"/>
    <w:rsid w:val="00F368D2"/>
    <w:rsid w:val="00FD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7026"/>
  <w15:chartTrackingRefBased/>
  <w15:docId w15:val="{50269EEF-B718-4C15-AEC2-933AC3D2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568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C568AD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952BC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37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43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F5D3E-1323-4232-BAD0-B914BCCE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1646</Words>
  <Characters>11365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2021-08-17T12:13:00Z</cp:lastPrinted>
  <dcterms:created xsi:type="dcterms:W3CDTF">2021-08-17T11:41:00Z</dcterms:created>
  <dcterms:modified xsi:type="dcterms:W3CDTF">2021-08-17T12:15:00Z</dcterms:modified>
</cp:coreProperties>
</file>