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2" w:rsidRPr="002045CC" w:rsidRDefault="001C0E1C" w:rsidP="00DD46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45CC">
        <w:rPr>
          <w:rFonts w:ascii="Times New Roman" w:hAnsi="Times New Roman" w:cs="Times New Roman"/>
          <w:sz w:val="24"/>
          <w:szCs w:val="24"/>
        </w:rPr>
        <w:br/>
      </w:r>
      <w:r w:rsidR="00DD4662" w:rsidRPr="00204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DD4662" w:rsidRPr="002045CC" w:rsidRDefault="00DD4662" w:rsidP="00DD4662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FJL/</w:t>
      </w:r>
      <w:r w:rsidR="009B45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279-</w:t>
      </w:r>
      <w:r w:rsidR="00AB788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="009B45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/2023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Keller Ilona</w:t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DD4662" w:rsidRPr="002045CC" w:rsidRDefault="00DD4662" w:rsidP="00DD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DD4662" w:rsidRPr="002045CC" w:rsidRDefault="00DD4662" w:rsidP="00DD4662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DD4662" w:rsidRPr="002045CC" w:rsidRDefault="0046010D" w:rsidP="00DD466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2023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. </w:t>
      </w:r>
      <w:r w:rsidR="00CF553F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október 26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. napján tartandó ülésére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CF553F" w:rsidRPr="00434128" w:rsidRDefault="00DD4662" w:rsidP="00CF553F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045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F553F" w:rsidRPr="00434128">
        <w:rPr>
          <w:rFonts w:ascii="Times New Roman" w:hAnsi="Times New Roman" w:cs="Times New Roman"/>
          <w:bCs/>
          <w:sz w:val="24"/>
          <w:szCs w:val="24"/>
        </w:rPr>
        <w:t>Az FBH-NP Közszolgáltató Nonprofit Korlátolt Felelősségű Társaság, mint beolvadó társaság vonatkozásában az FBH-NP Közszolgáltató Nonprofit Korlátolt Felelősségű Társaságnak a Duna-Tisza közi Hulladékgazdálkodási Nonprofit Kft.-</w:t>
      </w:r>
      <w:proofErr w:type="gramStart"/>
      <w:r w:rsidR="00CF553F" w:rsidRPr="00434128">
        <w:rPr>
          <w:rFonts w:ascii="Times New Roman" w:hAnsi="Times New Roman" w:cs="Times New Roman"/>
          <w:bCs/>
          <w:sz w:val="24"/>
          <w:szCs w:val="24"/>
        </w:rPr>
        <w:t>be történő</w:t>
      </w:r>
      <w:proofErr w:type="gramEnd"/>
      <w:r w:rsidR="00CF553F" w:rsidRPr="00434128">
        <w:rPr>
          <w:rFonts w:ascii="Times New Roman" w:hAnsi="Times New Roman" w:cs="Times New Roman"/>
          <w:bCs/>
          <w:sz w:val="24"/>
          <w:szCs w:val="24"/>
        </w:rPr>
        <w:t xml:space="preserve"> beolvadásáról, a beolvadással megvalósuló egyesülésér</w:t>
      </w:r>
      <w:bookmarkStart w:id="0" w:name="_GoBack"/>
      <w:bookmarkEnd w:id="0"/>
      <w:r w:rsidR="00CF553F" w:rsidRPr="00434128">
        <w:rPr>
          <w:rFonts w:ascii="Times New Roman" w:hAnsi="Times New Roman" w:cs="Times New Roman"/>
          <w:bCs/>
          <w:sz w:val="24"/>
          <w:szCs w:val="24"/>
        </w:rPr>
        <w:t xml:space="preserve">ől, az ahhoz kapcsolódó </w:t>
      </w:r>
      <w:r w:rsidR="00CF553F" w:rsidRPr="00CF553F">
        <w:rPr>
          <w:rFonts w:ascii="Times New Roman" w:hAnsi="Times New Roman" w:cs="Times New Roman"/>
          <w:bCs/>
          <w:sz w:val="24"/>
          <w:szCs w:val="24"/>
        </w:rPr>
        <w:t>végleges döntések meghozatala</w:t>
      </w:r>
    </w:p>
    <w:p w:rsidR="00CF553F" w:rsidRDefault="00CF553F" w:rsidP="00AB788B">
      <w:pPr>
        <w:rPr>
          <w:rFonts w:ascii="Times New Roman" w:hAnsi="Times New Roman" w:cs="Times New Roman"/>
        </w:rPr>
      </w:pPr>
    </w:p>
    <w:p w:rsidR="00CF553F" w:rsidRDefault="00CF553F" w:rsidP="00AB788B">
      <w:pPr>
        <w:rPr>
          <w:rFonts w:ascii="Times New Roman" w:hAnsi="Times New Roman" w:cs="Times New Roman"/>
        </w:rPr>
      </w:pPr>
    </w:p>
    <w:p w:rsidR="00AB788B" w:rsidRPr="00CF553F" w:rsidRDefault="00AB788B" w:rsidP="00AB788B">
      <w:pPr>
        <w:rPr>
          <w:rFonts w:ascii="Times New Roman" w:hAnsi="Times New Roman" w:cs="Times New Roman"/>
          <w:b/>
        </w:rPr>
      </w:pPr>
      <w:r w:rsidRPr="00CF553F">
        <w:rPr>
          <w:rFonts w:ascii="Times New Roman" w:hAnsi="Times New Roman" w:cs="Times New Roman"/>
          <w:b/>
        </w:rPr>
        <w:t>Tisztelt Képviselő-testület!</w:t>
      </w:r>
    </w:p>
    <w:p w:rsidR="00AB788B" w:rsidRDefault="003820D7" w:rsidP="00CF55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2023. augusztusi testületi ülésén előzetesen már tárgyalta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hulladékgazdá</w:t>
      </w:r>
      <w:r w:rsidR="005F6588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kodással érintett gazdasági társaságok jövőbeni működési formájáról</w:t>
      </w:r>
      <w:r>
        <w:rPr>
          <w:rFonts w:ascii="Times New Roman" w:hAnsi="Times New Roman" w:cs="Times New Roman"/>
        </w:rPr>
        <w:t xml:space="preserve"> vonatkozó előterjesztést és egyetértett azzal, hogy a részben Csongrád városi Önkormányzat tulajdonában álló FBH NP Kft. és DTKH NP Kft. beolvadással egyesüljön. </w:t>
      </w:r>
    </w:p>
    <w:p w:rsidR="003820D7" w:rsidRDefault="003820D7" w:rsidP="00CF55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átalakítási folyamat jelen szakaszában végleges döntés szükséges arra vonatkozóan, hogy Csongrád Város Önkormányzata, mint tulajdonos, az egyesüléssel létrejövő gazdasági tarsaságban továbbra is </w:t>
      </w:r>
      <w:r w:rsidR="00CF553F">
        <w:rPr>
          <w:rFonts w:ascii="Times New Roman" w:hAnsi="Times New Roman" w:cs="Times New Roman"/>
        </w:rPr>
        <w:t xml:space="preserve">fenntartja tagságát. </w:t>
      </w:r>
    </w:p>
    <w:p w:rsidR="00CF553F" w:rsidRDefault="00CF553F" w:rsidP="00CF553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Önkormányzatunk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jelenlegi</w:t>
      </w: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tulajdoni részesedése 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z FBH NP Kft.</w:t>
      </w: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gazdasági társaságban 4,3%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, a beolvadással létrejövő jogutód gazdasági társaságban pedig várhatóan 3,3 % lesz. </w:t>
      </w:r>
    </w:p>
    <w:p w:rsidR="00E25F61" w:rsidRDefault="00CF553F" w:rsidP="00CF553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továbbiakban jelen előterjesztés az FBH NP</w:t>
      </w:r>
      <w:r w:rsidR="005F658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</w:t>
      </w: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ft. által készített előterjesztés törzsszövegét és a jogszabályok által előírt határozati javalatot tartalmazza.</w:t>
      </w:r>
    </w:p>
    <w:p w:rsidR="00E25F61" w:rsidRDefault="00E25F61" w:rsidP="00CF553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Az előterjesztés mellékletét képezi az egyesülési </w:t>
      </w:r>
      <w:r w:rsidR="001123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terv</w:t>
      </w: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tervezete. </w:t>
      </w:r>
    </w:p>
    <w:p w:rsidR="00CF553F" w:rsidRPr="00E25F61" w:rsidRDefault="00E25F61" w:rsidP="00CF553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</w:t>
      </w:r>
      <w:r w:rsidR="001123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egyesülési terv</w:t>
      </w: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tervezet mellékleteit képező további iratanyag, annak jelentős (több száz oldalas) terjedelmére tekintettel nem kerül csatolásra,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az igény esetén a Fejlesztési irodán megtekinthető. </w:t>
      </w:r>
      <w:r w:rsidRPr="00E25F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CF553F" w:rsidRPr="006F0FE3" w:rsidRDefault="00CF553F" w:rsidP="00AB788B">
      <w:pPr>
        <w:rPr>
          <w:rFonts w:ascii="Times New Roman" w:hAnsi="Times New Roman" w:cs="Times New Roman"/>
        </w:rPr>
      </w:pP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r w:rsidRPr="006F0FE3">
        <w:rPr>
          <w:rFonts w:ascii="Times New Roman" w:hAnsi="Times New Roman" w:cs="Times New Roman"/>
          <w:bCs/>
        </w:rPr>
        <w:t xml:space="preserve">A hazai hulladékgazdálkodás számára a 2023-as </w:t>
      </w:r>
      <w:proofErr w:type="gramStart"/>
      <w:r w:rsidRPr="006F0FE3">
        <w:rPr>
          <w:rFonts w:ascii="Times New Roman" w:hAnsi="Times New Roman" w:cs="Times New Roman"/>
          <w:bCs/>
        </w:rPr>
        <w:t>év jelentős</w:t>
      </w:r>
      <w:proofErr w:type="gramEnd"/>
      <w:r w:rsidRPr="006F0FE3">
        <w:rPr>
          <w:rFonts w:ascii="Times New Roman" w:hAnsi="Times New Roman" w:cs="Times New Roman"/>
          <w:bCs/>
        </w:rPr>
        <w:t xml:space="preserve"> mérföldkövet jelent, hiszen július 01. napjától az önkormányzati, illetve állami hulladékgazdálkodási rendszert felváltotta egy centralizált, </w:t>
      </w:r>
      <w:proofErr w:type="spellStart"/>
      <w:r w:rsidRPr="006F0FE3">
        <w:rPr>
          <w:rFonts w:ascii="Times New Roman" w:hAnsi="Times New Roman" w:cs="Times New Roman"/>
          <w:bCs/>
        </w:rPr>
        <w:t>koncesszori</w:t>
      </w:r>
      <w:proofErr w:type="spellEnd"/>
      <w:r w:rsidRPr="006F0FE3">
        <w:rPr>
          <w:rFonts w:ascii="Times New Roman" w:hAnsi="Times New Roman" w:cs="Times New Roman"/>
          <w:bCs/>
        </w:rPr>
        <w:t xml:space="preserve"> működési rendszer, melyben a hulladékgazdálkodási feladatellátásra kiírt állami pályázat nyertese, a MOL Magyar Olaj- és Gázipari </w:t>
      </w:r>
      <w:proofErr w:type="spellStart"/>
      <w:r w:rsidRPr="006F0FE3">
        <w:rPr>
          <w:rFonts w:ascii="Times New Roman" w:hAnsi="Times New Roman" w:cs="Times New Roman"/>
          <w:bCs/>
        </w:rPr>
        <w:t>Nyrt</w:t>
      </w:r>
      <w:proofErr w:type="spellEnd"/>
      <w:r w:rsidRPr="006F0FE3">
        <w:rPr>
          <w:rFonts w:ascii="Times New Roman" w:hAnsi="Times New Roman" w:cs="Times New Roman"/>
          <w:bCs/>
        </w:rPr>
        <w:t xml:space="preserve">. Az állammal kötött koncessziós szerződés révén a </w:t>
      </w:r>
      <w:proofErr w:type="spellStart"/>
      <w:r w:rsidRPr="006F0FE3">
        <w:rPr>
          <w:rFonts w:ascii="Times New Roman" w:hAnsi="Times New Roman" w:cs="Times New Roman"/>
          <w:bCs/>
        </w:rPr>
        <w:t>Koncesszor</w:t>
      </w:r>
      <w:proofErr w:type="spellEnd"/>
      <w:r w:rsidRPr="006F0FE3">
        <w:rPr>
          <w:rFonts w:ascii="Times New Roman" w:hAnsi="Times New Roman" w:cs="Times New Roman"/>
          <w:bCs/>
        </w:rPr>
        <w:t xml:space="preserve"> (MOL </w:t>
      </w:r>
      <w:proofErr w:type="spellStart"/>
      <w:r w:rsidRPr="006F0FE3">
        <w:rPr>
          <w:rFonts w:ascii="Times New Roman" w:hAnsi="Times New Roman" w:cs="Times New Roman"/>
          <w:bCs/>
        </w:rPr>
        <w:t>Nyrt</w:t>
      </w:r>
      <w:proofErr w:type="spellEnd"/>
      <w:r w:rsidRPr="006F0FE3">
        <w:rPr>
          <w:rFonts w:ascii="Times New Roman" w:hAnsi="Times New Roman" w:cs="Times New Roman"/>
          <w:bCs/>
        </w:rPr>
        <w:t xml:space="preserve">.) által megalapított MOHU MOL Hulladékgazdálkodási </w:t>
      </w:r>
      <w:proofErr w:type="spellStart"/>
      <w:r w:rsidRPr="006F0FE3">
        <w:rPr>
          <w:rFonts w:ascii="Times New Roman" w:hAnsi="Times New Roman" w:cs="Times New Roman"/>
          <w:bCs/>
        </w:rPr>
        <w:t>Zrt</w:t>
      </w:r>
      <w:proofErr w:type="spellEnd"/>
      <w:r w:rsidRPr="006F0FE3">
        <w:rPr>
          <w:rFonts w:ascii="Times New Roman" w:hAnsi="Times New Roman" w:cs="Times New Roman"/>
          <w:bCs/>
        </w:rPr>
        <w:t xml:space="preserve">. (továbbiakban: </w:t>
      </w:r>
      <w:r w:rsidRPr="006F0FE3">
        <w:rPr>
          <w:rFonts w:ascii="Times New Roman" w:hAnsi="Times New Roman" w:cs="Times New Roman"/>
          <w:bCs/>
        </w:rPr>
        <w:lastRenderedPageBreak/>
        <w:t xml:space="preserve">MOHU) felel Magyarország teljes területén mind a háztartások, mind a gazdálkodó szervezetek szilárd hulladékának begyűjtéséért, kezeléséért, valamint a kapcsolódó létesítmények üzemeltetéséért. </w:t>
      </w: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r w:rsidRPr="006F0FE3">
        <w:rPr>
          <w:rFonts w:ascii="Times New Roman" w:hAnsi="Times New Roman" w:cs="Times New Roman"/>
          <w:bCs/>
        </w:rPr>
        <w:t xml:space="preserve">A szerteágazó szolgáltatások hatékony ellátását a MOHU földrajzi egységek (régiók) szerint szervezi, és az egyes régiókban a hulladékgyűjtési és -szállítási feladatok koordinálását az arra kijelölt régiókoordinátor társaságokon keresztül valósítja meg. </w:t>
      </w:r>
      <w:r w:rsidRPr="00434128">
        <w:rPr>
          <w:rFonts w:ascii="Times New Roman" w:hAnsi="Times New Roman" w:cs="Times New Roman"/>
          <w:b/>
        </w:rPr>
        <w:t>Csongrád</w:t>
      </w:r>
      <w:r>
        <w:rPr>
          <w:rFonts w:ascii="Times New Roman" w:hAnsi="Times New Roman" w:cs="Times New Roman"/>
          <w:b/>
        </w:rPr>
        <w:t xml:space="preserve"> Városi </w:t>
      </w:r>
      <w:r w:rsidRPr="00566F3E">
        <w:rPr>
          <w:rFonts w:ascii="Times New Roman" w:hAnsi="Times New Roman" w:cs="Times New Roman"/>
          <w:b/>
        </w:rPr>
        <w:t>Önkormányzat közigazgatási területe a Közép Kelet Magyarország Régió</w:t>
      </w:r>
      <w:r>
        <w:rPr>
          <w:rFonts w:ascii="Times New Roman" w:hAnsi="Times New Roman" w:cs="Times New Roman"/>
          <w:b/>
        </w:rPr>
        <w:t xml:space="preserve"> </w:t>
      </w:r>
      <w:r w:rsidRPr="00AF737D">
        <w:rPr>
          <w:rFonts w:ascii="Times New Roman" w:hAnsi="Times New Roman" w:cs="Times New Roman"/>
          <w:b/>
        </w:rPr>
        <w:t>(a továbbiakban: KKMO</w:t>
      </w:r>
      <w:r>
        <w:rPr>
          <w:rFonts w:ascii="Times New Roman" w:hAnsi="Times New Roman" w:cs="Times New Roman"/>
          <w:b/>
        </w:rPr>
        <w:t>)</w:t>
      </w:r>
      <w:r w:rsidRPr="00566F3E">
        <w:rPr>
          <w:rFonts w:ascii="Times New Roman" w:hAnsi="Times New Roman" w:cs="Times New Roman"/>
          <w:b/>
        </w:rPr>
        <w:t xml:space="preserve"> területébe tartozik, mely régióban 2023. július 1-jétől a</w:t>
      </w:r>
      <w:r>
        <w:rPr>
          <w:rFonts w:ascii="Times New Roman" w:hAnsi="Times New Roman" w:cs="Times New Roman"/>
          <w:b/>
        </w:rPr>
        <w:t xml:space="preserve"> </w:t>
      </w:r>
      <w:r w:rsidRPr="00566F3E">
        <w:rPr>
          <w:rFonts w:ascii="Times New Roman" w:hAnsi="Times New Roman" w:cs="Times New Roman"/>
          <w:b/>
        </w:rPr>
        <w:t>kecskeméti székhelyű DTKH Nonprofit Kft. látja el a régiókoordinátori feladatokat.</w:t>
      </w: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r w:rsidRPr="006F0FE3">
        <w:rPr>
          <w:rFonts w:ascii="Times New Roman" w:hAnsi="Times New Roman" w:cs="Times New Roman"/>
          <w:bCs/>
        </w:rPr>
        <w:t>A régiókoordinátori tevékenységen kívül eső feladatok ellátására a MOHU közvetlenül szerződik a szolgáltatókkal, létesítményüzemeltetőkkel</w:t>
      </w:r>
      <w:r>
        <w:rPr>
          <w:rFonts w:ascii="Times New Roman" w:hAnsi="Times New Roman" w:cs="Times New Roman"/>
          <w:bCs/>
        </w:rPr>
        <w:t>, hasznosítókkal, egyéb partnerekkel</w:t>
      </w:r>
      <w:r w:rsidRPr="006F0FE3">
        <w:rPr>
          <w:rFonts w:ascii="Times New Roman" w:hAnsi="Times New Roman" w:cs="Times New Roman"/>
          <w:bCs/>
        </w:rPr>
        <w:t>.</w:t>
      </w:r>
    </w:p>
    <w:p w:rsidR="00AB788B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/>
        </w:rPr>
      </w:pPr>
      <w:r w:rsidRPr="006F0FE3">
        <w:rPr>
          <w:rFonts w:ascii="Times New Roman" w:hAnsi="Times New Roman" w:cs="Times New Roman"/>
          <w:bCs/>
        </w:rPr>
        <w:t xml:space="preserve">A hulladékgazdálkodási feladatok irányításának és ellátásának centralizációja irányába mutatnak azok a jogszabályi változások, melyek következtében </w:t>
      </w:r>
      <w:r w:rsidRPr="00566F3E">
        <w:rPr>
          <w:rFonts w:ascii="Times New Roman" w:hAnsi="Times New Roman" w:cs="Times New Roman"/>
          <w:b/>
        </w:rPr>
        <w:t xml:space="preserve">2023. június 30. napjával a települési önkormányzatok és az egyes közszolgáltató társaságok között létrejött hulladékgazdálkodási közszolgáltatási szerződések megszűntek, </w:t>
      </w:r>
      <w:r w:rsidRPr="00AF737D">
        <w:rPr>
          <w:rFonts w:ascii="Times New Roman" w:hAnsi="Times New Roman" w:cs="Times New Roman"/>
          <w:b/>
        </w:rPr>
        <w:t xml:space="preserve">a helyi </w:t>
      </w:r>
      <w:r>
        <w:rPr>
          <w:rFonts w:ascii="Times New Roman" w:hAnsi="Times New Roman" w:cs="Times New Roman"/>
          <w:b/>
        </w:rPr>
        <w:t>hulladékgazdálkodási közszolgáltatást szabályozó</w:t>
      </w:r>
      <w:r w:rsidRPr="00AF73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rendeletek</w:t>
      </w:r>
      <w:r w:rsidRPr="00AF737D">
        <w:rPr>
          <w:rFonts w:ascii="Times New Roman" w:hAnsi="Times New Roman" w:cs="Times New Roman"/>
          <w:b/>
        </w:rPr>
        <w:t xml:space="preserve"> pedig hatályukat vesztették</w:t>
      </w:r>
      <w:r>
        <w:rPr>
          <w:rFonts w:ascii="Times New Roman" w:hAnsi="Times New Roman" w:cs="Times New Roman"/>
          <w:b/>
        </w:rPr>
        <w:t>, ezzel egyidejűleg a korábbi hulladékgazdálkodási közszolgáltatás jogszabályi keretrendszere is jelentősen átalakult.</w:t>
      </w: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r w:rsidRPr="006F0FE3">
        <w:rPr>
          <w:rFonts w:ascii="Times New Roman" w:hAnsi="Times New Roman" w:cs="Times New Roman"/>
          <w:bCs/>
        </w:rPr>
        <w:t xml:space="preserve">A koncessziós rendszerre történő átállás előkészítése, valamint az új rendszer kezdeti működése során is egyértelművé vált a 2023. június 30. napig </w:t>
      </w:r>
      <w:proofErr w:type="spellStart"/>
      <w:r w:rsidRPr="006F0FE3">
        <w:rPr>
          <w:rFonts w:ascii="Times New Roman" w:hAnsi="Times New Roman" w:cs="Times New Roman"/>
          <w:bCs/>
        </w:rPr>
        <w:t>közszolgáltatói</w:t>
      </w:r>
      <w:proofErr w:type="spellEnd"/>
      <w:r w:rsidRPr="006F0FE3">
        <w:rPr>
          <w:rFonts w:ascii="Times New Roman" w:hAnsi="Times New Roman" w:cs="Times New Roman"/>
          <w:bCs/>
        </w:rPr>
        <w:t xml:space="preserve"> feladatok</w:t>
      </w:r>
      <w:r>
        <w:rPr>
          <w:rFonts w:ascii="Times New Roman" w:hAnsi="Times New Roman" w:cs="Times New Roman"/>
          <w:bCs/>
        </w:rPr>
        <w:t xml:space="preserve"> ellátásában részt vevő társaságok számára</w:t>
      </w:r>
      <w:r w:rsidRPr="006F0FE3">
        <w:rPr>
          <w:rFonts w:ascii="Times New Roman" w:hAnsi="Times New Roman" w:cs="Times New Roman"/>
          <w:bCs/>
        </w:rPr>
        <w:t xml:space="preserve">, hogy az addigi működési formában rendkívül nehéz megfelelni a koncessziós társaság által támasztott elvárásoknak, a sok résztvevős, széttördelt működés jelentősen növeli az adminisztrációs, bürokratikus terheket, a szükséges döntéshozatali eljárások </w:t>
      </w:r>
      <w:proofErr w:type="gramStart"/>
      <w:r w:rsidRPr="006F0FE3">
        <w:rPr>
          <w:rFonts w:ascii="Times New Roman" w:hAnsi="Times New Roman" w:cs="Times New Roman"/>
          <w:bCs/>
        </w:rPr>
        <w:t>ezáltal</w:t>
      </w:r>
      <w:proofErr w:type="gramEnd"/>
      <w:r w:rsidRPr="006F0FE3">
        <w:rPr>
          <w:rFonts w:ascii="Times New Roman" w:hAnsi="Times New Roman" w:cs="Times New Roman"/>
          <w:bCs/>
        </w:rPr>
        <w:t xml:space="preserve"> lassúak és rugalmatlanok, kevésbé alkalmasak a folyamatosan változó elvárások teljesítésére. Mindemellett a piaci struktúra által teremtett új környezet, illetve a </w:t>
      </w:r>
      <w:r>
        <w:rPr>
          <w:rFonts w:ascii="Times New Roman" w:hAnsi="Times New Roman" w:cs="Times New Roman"/>
          <w:bCs/>
        </w:rPr>
        <w:t>koncessziós társaság</w:t>
      </w:r>
      <w:r w:rsidRPr="006F0FE3">
        <w:rPr>
          <w:rFonts w:ascii="Times New Roman" w:hAnsi="Times New Roman" w:cs="Times New Roman"/>
          <w:bCs/>
        </w:rPr>
        <w:t xml:space="preserve"> elvárásai is új kihívásokat teremtenek minden részfeladatot ellátó szolgáltatónak a hulladékgazdálkodás teljes rendszerében.</w:t>
      </w:r>
    </w:p>
    <w:p w:rsidR="00AB788B" w:rsidRPr="00566F3E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/>
        </w:rPr>
      </w:pPr>
      <w:r w:rsidRPr="00566F3E">
        <w:rPr>
          <w:rFonts w:ascii="Times New Roman" w:hAnsi="Times New Roman" w:cs="Times New Roman"/>
          <w:b/>
        </w:rPr>
        <w:t xml:space="preserve">A hulladékgazdálkodási feladatokat ellátó vállalatok számára az új koncessziós rendszerben való hosszú távú szerepvállalás elengedhetetlen feltétele a hatékonyságnövelés és a megváltozott körülményekhez és elvárásokhoz való alkalmazkodás elérése. Ennek érdekében az önkormányzat tulajdonosi részvételével működő FBH-NP Nonprofit Kft. 2023. augusztus 17. napján megtartott taggyűlésén </w:t>
      </w:r>
      <w:r w:rsidRPr="00361BD3">
        <w:rPr>
          <w:rFonts w:ascii="Times New Roman" w:hAnsi="Times New Roman" w:cs="Times New Roman"/>
          <w:b/>
          <w:u w:val="single"/>
        </w:rPr>
        <w:t>elvi döntés</w:t>
      </w:r>
      <w:r w:rsidRPr="00566F3E">
        <w:rPr>
          <w:rFonts w:ascii="Times New Roman" w:hAnsi="Times New Roman" w:cs="Times New Roman"/>
          <w:b/>
        </w:rPr>
        <w:t xml:space="preserve"> született arról, hogy </w:t>
      </w:r>
      <w:r>
        <w:rPr>
          <w:rFonts w:ascii="Times New Roman" w:hAnsi="Times New Roman" w:cs="Times New Roman"/>
          <w:b/>
        </w:rPr>
        <w:t xml:space="preserve">a további működés racionalizálása érdekében </w:t>
      </w:r>
      <w:r w:rsidRPr="00566F3E">
        <w:rPr>
          <w:rFonts w:ascii="Times New Roman" w:hAnsi="Times New Roman" w:cs="Times New Roman"/>
          <w:b/>
        </w:rPr>
        <w:t>szükséges a szolgáltatás ellátásában továbbra is résztvevő társaságok beolvadása a DTKH Nonprofit Kft.-be</w:t>
      </w:r>
      <w:r>
        <w:rPr>
          <w:rFonts w:ascii="Times New Roman" w:hAnsi="Times New Roman" w:cs="Times New Roman"/>
          <w:bCs/>
        </w:rPr>
        <w:t xml:space="preserve">. </w:t>
      </w:r>
    </w:p>
    <w:p w:rsidR="00AB788B" w:rsidRPr="00AF737D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/>
        </w:rPr>
      </w:pPr>
      <w:r w:rsidRPr="003A354C">
        <w:rPr>
          <w:rFonts w:ascii="Times New Roman" w:hAnsi="Times New Roman" w:cs="Times New Roman"/>
          <w:b/>
        </w:rPr>
        <w:t xml:space="preserve">Ennek első lépése, hogy az </w:t>
      </w:r>
      <w:r w:rsidRPr="00B706A1">
        <w:rPr>
          <w:rFonts w:ascii="Times New Roman" w:hAnsi="Times New Roman" w:cs="Times New Roman"/>
          <w:bCs/>
        </w:rPr>
        <w:t>Önkormányzat területén 2023. június 30. napig közszolgáltatási feladatokat ellátó, majd 2023. július 1-jétől létesítményüzemeltetési feladatokat biztosító</w:t>
      </w:r>
      <w:r w:rsidRPr="003A354C">
        <w:rPr>
          <w:rFonts w:ascii="Times New Roman" w:hAnsi="Times New Roman" w:cs="Times New Roman"/>
          <w:b/>
        </w:rPr>
        <w:t xml:space="preserve"> FBH-NP Nonprofit Kft. beolvad </w:t>
      </w:r>
      <w:r w:rsidRPr="00B706A1">
        <w:rPr>
          <w:rFonts w:ascii="Times New Roman" w:hAnsi="Times New Roman" w:cs="Times New Roman"/>
          <w:bCs/>
        </w:rPr>
        <w:t>a tulajdonosi érdekeltségi körébe tartozó</w:t>
      </w:r>
      <w:r w:rsidRPr="003A354C">
        <w:rPr>
          <w:rFonts w:ascii="Times New Roman" w:hAnsi="Times New Roman" w:cs="Times New Roman"/>
          <w:b/>
        </w:rPr>
        <w:t xml:space="preserve"> </w:t>
      </w:r>
      <w:r w:rsidRPr="00B706A1">
        <w:rPr>
          <w:rFonts w:ascii="Times New Roman" w:hAnsi="Times New Roman" w:cs="Times New Roman"/>
          <w:b/>
        </w:rPr>
        <w:t>DTKH Nonprofit Kft-be, és általános</w:t>
      </w:r>
      <w:r w:rsidRPr="003A354C">
        <w:rPr>
          <w:rFonts w:ascii="Times New Roman" w:hAnsi="Times New Roman" w:cs="Times New Roman"/>
          <w:b/>
        </w:rPr>
        <w:t xml:space="preserve"> jogutódja a DTKH Nonprofit Kft. lesz. Az átalakulás tervezett időpontja: 2023. december 31.</w:t>
      </w:r>
    </w:p>
    <w:p w:rsidR="00AB788B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</w:p>
    <w:p w:rsidR="00AB788B" w:rsidRPr="006F0FE3" w:rsidRDefault="00AB788B" w:rsidP="00AB788B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6F0FE3">
        <w:rPr>
          <w:rFonts w:ascii="Times New Roman" w:hAnsi="Times New Roman" w:cs="Times New Roman"/>
          <w:b/>
        </w:rPr>
        <w:t>A beolvadás menete és jogi háttere</w:t>
      </w:r>
    </w:p>
    <w:p w:rsidR="00AB788B" w:rsidRPr="006F0FE3" w:rsidRDefault="00AB788B" w:rsidP="00AB788B">
      <w:pPr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  <w:bCs/>
          <w:iCs/>
        </w:rPr>
        <w:t xml:space="preserve">A gazdasági társaságok egyesülésre a Polgári Törvénykönyvről szóló 2013. évi V. törvény (a továbbiakban: Ptk.), az egyes jogi személyek átalakulásáról, egyesüléséről, szétválásáról szóló 2013. évi CLXXVI. törvény (a továbbiakban: Átalakulási tv.), valamint a cégnyilvánosságról, a bírósági cégeljárásról és a végelszámolásról szóló 2006. évi V. törvény (továbbiakban: </w:t>
      </w:r>
      <w:proofErr w:type="spellStart"/>
      <w:r w:rsidRPr="006F0FE3">
        <w:rPr>
          <w:rFonts w:ascii="Times New Roman" w:hAnsi="Times New Roman" w:cs="Times New Roman"/>
          <w:bCs/>
          <w:iCs/>
        </w:rPr>
        <w:t>Ctv</w:t>
      </w:r>
      <w:proofErr w:type="spellEnd"/>
      <w:r w:rsidRPr="006F0FE3">
        <w:rPr>
          <w:rFonts w:ascii="Times New Roman" w:hAnsi="Times New Roman" w:cs="Times New Roman"/>
          <w:bCs/>
          <w:iCs/>
        </w:rPr>
        <w:t>.) vonatkozó szabályai irányadóak.</w:t>
      </w:r>
    </w:p>
    <w:p w:rsidR="00AB788B" w:rsidRPr="006F0FE3" w:rsidRDefault="00AB788B" w:rsidP="00AB788B">
      <w:pPr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</w:rPr>
        <w:lastRenderedPageBreak/>
        <w:t xml:space="preserve">A Ptk. 3:44. § (1) bekezdése szerint a jogi személy más jogi személyekkel összeolvadás vagy beolvadás útján egyesülhet. Összeolvadásnál az összeolvadó jogi személyek megszűnnek, és új jogi személy jön létre általános jogutódlás mellett. </w:t>
      </w:r>
      <w:r w:rsidRPr="006F0FE3">
        <w:rPr>
          <w:rFonts w:ascii="Times New Roman" w:hAnsi="Times New Roman" w:cs="Times New Roman"/>
          <w:b/>
        </w:rPr>
        <w:t>Beolvadásnál a beolvadó jogi személy szűnik meg, általános jogutódja az egyesülésben részt vevő másik jogi személy.</w:t>
      </w:r>
    </w:p>
    <w:p w:rsidR="00AB788B" w:rsidRPr="006F0FE3" w:rsidRDefault="00AB788B" w:rsidP="00AB788B">
      <w:pPr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  <w:bCs/>
          <w:iCs/>
        </w:rPr>
        <w:t xml:space="preserve">A </w:t>
      </w:r>
      <w:proofErr w:type="spellStart"/>
      <w:r w:rsidRPr="006F0FE3">
        <w:rPr>
          <w:rFonts w:ascii="Times New Roman" w:hAnsi="Times New Roman" w:cs="Times New Roman"/>
          <w:bCs/>
          <w:iCs/>
        </w:rPr>
        <w:t>Ctv</w:t>
      </w:r>
      <w:proofErr w:type="spellEnd"/>
      <w:r w:rsidRPr="006F0FE3">
        <w:rPr>
          <w:rFonts w:ascii="Times New Roman" w:hAnsi="Times New Roman" w:cs="Times New Roman"/>
          <w:bCs/>
          <w:iCs/>
        </w:rPr>
        <w:t>. 57/</w:t>
      </w:r>
      <w:proofErr w:type="gramStart"/>
      <w:r w:rsidRPr="006F0FE3">
        <w:rPr>
          <w:rFonts w:ascii="Times New Roman" w:hAnsi="Times New Roman" w:cs="Times New Roman"/>
          <w:bCs/>
          <w:iCs/>
        </w:rPr>
        <w:t>A.</w:t>
      </w:r>
      <w:proofErr w:type="gramEnd"/>
      <w:r w:rsidRPr="006F0FE3">
        <w:rPr>
          <w:rFonts w:ascii="Times New Roman" w:hAnsi="Times New Roman" w:cs="Times New Roman"/>
          <w:bCs/>
          <w:iCs/>
        </w:rPr>
        <w:t xml:space="preserve"> § -</w:t>
      </w:r>
      <w:proofErr w:type="gramStart"/>
      <w:r w:rsidRPr="006F0FE3">
        <w:rPr>
          <w:rFonts w:ascii="Times New Roman" w:hAnsi="Times New Roman" w:cs="Times New Roman"/>
          <w:bCs/>
          <w:iCs/>
        </w:rPr>
        <w:t>a</w:t>
      </w:r>
      <w:proofErr w:type="gramEnd"/>
      <w:r w:rsidRPr="006F0FE3">
        <w:rPr>
          <w:rFonts w:ascii="Times New Roman" w:hAnsi="Times New Roman" w:cs="Times New Roman"/>
          <w:bCs/>
          <w:iCs/>
        </w:rPr>
        <w:t xml:space="preserve"> értelmében nonprofit gazdasági társaság más társasági formába csak nonprofit jellegének megtartásával alakulhat át, </w:t>
      </w:r>
      <w:r w:rsidRPr="006F0FE3">
        <w:rPr>
          <w:rFonts w:ascii="Times New Roman" w:hAnsi="Times New Roman" w:cs="Times New Roman"/>
          <w:b/>
          <w:bCs/>
          <w:iCs/>
        </w:rPr>
        <w:t>csak nonprofit gazdasági társasággal egyesülhet</w:t>
      </w:r>
      <w:r w:rsidRPr="006F0FE3">
        <w:rPr>
          <w:rFonts w:ascii="Times New Roman" w:hAnsi="Times New Roman" w:cs="Times New Roman"/>
          <w:bCs/>
          <w:iCs/>
        </w:rPr>
        <w:t xml:space="preserve">, illetve csak nonprofit gazdasági társaságokká válhat szét. </w:t>
      </w:r>
      <w:r w:rsidRPr="006F0FE3">
        <w:rPr>
          <w:rFonts w:ascii="Times New Roman" w:hAnsi="Times New Roman" w:cs="Times New Roman"/>
          <w:b/>
          <w:iCs/>
        </w:rPr>
        <w:t xml:space="preserve">A beolvadással érintett mindkét társaság nonprofit gazdasági társaság, így </w:t>
      </w:r>
      <w:proofErr w:type="gramStart"/>
      <w:r w:rsidRPr="006F0FE3">
        <w:rPr>
          <w:rFonts w:ascii="Times New Roman" w:hAnsi="Times New Roman" w:cs="Times New Roman"/>
          <w:b/>
          <w:iCs/>
        </w:rPr>
        <w:t>ezen</w:t>
      </w:r>
      <w:proofErr w:type="gramEnd"/>
      <w:r w:rsidRPr="006F0FE3">
        <w:rPr>
          <w:rFonts w:ascii="Times New Roman" w:hAnsi="Times New Roman" w:cs="Times New Roman"/>
          <w:b/>
          <w:iCs/>
        </w:rPr>
        <w:t xml:space="preserve"> feltétel teljesülése biztosított.</w:t>
      </w:r>
      <w:r w:rsidRPr="006F0FE3">
        <w:rPr>
          <w:rFonts w:ascii="Times New Roman" w:hAnsi="Times New Roman" w:cs="Times New Roman"/>
        </w:rPr>
        <w:t xml:space="preserve"> </w:t>
      </w:r>
    </w:p>
    <w:p w:rsidR="00AB788B" w:rsidRPr="006F0FE3" w:rsidRDefault="00AB788B" w:rsidP="00AB788B">
      <w:pPr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  <w:iCs/>
        </w:rPr>
        <w:t xml:space="preserve">Az Át. 8.§ (1) bekezdése értelmében a tagok úgy is dönthetnek, hogy – a beolvadásról való két alkalommal történő határozathozatal [Át.2.§ (1)-(3) </w:t>
      </w:r>
      <w:proofErr w:type="spellStart"/>
      <w:r w:rsidRPr="006F0FE3">
        <w:rPr>
          <w:rFonts w:ascii="Times New Roman" w:hAnsi="Times New Roman" w:cs="Times New Roman"/>
          <w:iCs/>
        </w:rPr>
        <w:t>bek</w:t>
      </w:r>
      <w:proofErr w:type="spellEnd"/>
      <w:r w:rsidRPr="006F0FE3">
        <w:rPr>
          <w:rFonts w:ascii="Times New Roman" w:hAnsi="Times New Roman" w:cs="Times New Roman"/>
          <w:iCs/>
        </w:rPr>
        <w:t xml:space="preserve">.] helyett – ha a vezető tisztségviselők az átalakuláshoz szükséges okiratokat előkészítik, az átalakulási javaslat érdemi elbírálásáról a döntéshozó szerv egy ülésen határoz. Ez esetben erre az ülésre el kell készíteni az átalakulási tervet, </w:t>
      </w:r>
      <w:r w:rsidRPr="006F0FE3">
        <w:rPr>
          <w:rFonts w:ascii="Times New Roman" w:hAnsi="Times New Roman" w:cs="Times New Roman"/>
        </w:rPr>
        <w:t xml:space="preserve">amelynek tartalmaznia kell valamennyi </w:t>
      </w:r>
      <w:r w:rsidRPr="006F0FE3">
        <w:rPr>
          <w:rFonts w:ascii="Times New Roman" w:hAnsi="Times New Roman" w:cs="Times New Roman"/>
          <w:b/>
        </w:rPr>
        <w:t xml:space="preserve">részt vevő jogi személy vagyonleltár-tervezettel alátámasztott vagyonmérleg-tervezetét, valamint az </w:t>
      </w:r>
      <w:hyperlink r:id="rId5" w:anchor="ws8" w:history="1">
        <w:r w:rsidRPr="006F0FE3">
          <w:rPr>
            <w:rFonts w:ascii="Times New Roman" w:hAnsi="Times New Roman" w:cs="Times New Roman"/>
            <w:b/>
          </w:rPr>
          <w:t>egyesüléssel</w:t>
        </w:r>
      </w:hyperlink>
      <w:r w:rsidRPr="006F0FE3">
        <w:rPr>
          <w:rFonts w:ascii="Times New Roman" w:hAnsi="Times New Roman" w:cs="Times New Roman"/>
          <w:b/>
        </w:rPr>
        <w:t xml:space="preserve"> létrejövő jogi </w:t>
      </w:r>
      <w:proofErr w:type="gramStart"/>
      <w:r w:rsidRPr="006F0FE3">
        <w:rPr>
          <w:rFonts w:ascii="Times New Roman" w:hAnsi="Times New Roman" w:cs="Times New Roman"/>
          <w:b/>
        </w:rPr>
        <w:t>személy nyitó</w:t>
      </w:r>
      <w:proofErr w:type="gramEnd"/>
      <w:r w:rsidRPr="006F0FE3">
        <w:rPr>
          <w:rFonts w:ascii="Times New Roman" w:hAnsi="Times New Roman" w:cs="Times New Roman"/>
          <w:b/>
        </w:rPr>
        <w:t xml:space="preserve"> vagyonmérleg-tervezetét</w:t>
      </w:r>
      <w:r w:rsidRPr="006F0FE3">
        <w:rPr>
          <w:rFonts w:ascii="Times New Roman" w:hAnsi="Times New Roman" w:cs="Times New Roman"/>
        </w:rPr>
        <w:t xml:space="preserve">. A vagyonmérleg-tervezeteket és a vagyonleltár-tervezeteket </w:t>
      </w:r>
      <w:r w:rsidRPr="006F0FE3">
        <w:rPr>
          <w:rFonts w:ascii="Times New Roman" w:hAnsi="Times New Roman" w:cs="Times New Roman"/>
          <w:b/>
          <w:bCs/>
        </w:rPr>
        <w:t>független</w:t>
      </w:r>
      <w:r w:rsidRPr="006F0FE3">
        <w:rPr>
          <w:rFonts w:ascii="Times New Roman" w:hAnsi="Times New Roman" w:cs="Times New Roman"/>
        </w:rPr>
        <w:t xml:space="preserve"> </w:t>
      </w:r>
      <w:r w:rsidRPr="006F0FE3">
        <w:rPr>
          <w:rFonts w:ascii="Times New Roman" w:hAnsi="Times New Roman" w:cs="Times New Roman"/>
          <w:b/>
        </w:rPr>
        <w:t>könyvvizsgálóval,</w:t>
      </w:r>
      <w:r w:rsidRPr="006F0FE3">
        <w:rPr>
          <w:rFonts w:ascii="Times New Roman" w:hAnsi="Times New Roman" w:cs="Times New Roman"/>
        </w:rPr>
        <w:t xml:space="preserve"> továbbá a társaságoknál működő </w:t>
      </w:r>
      <w:r w:rsidRPr="006F0FE3">
        <w:rPr>
          <w:rFonts w:ascii="Times New Roman" w:hAnsi="Times New Roman" w:cs="Times New Roman"/>
          <w:b/>
        </w:rPr>
        <w:t>felügyelőbizottságokkal</w:t>
      </w:r>
      <w:r w:rsidRPr="006F0FE3">
        <w:rPr>
          <w:rFonts w:ascii="Times New Roman" w:hAnsi="Times New Roman" w:cs="Times New Roman"/>
        </w:rPr>
        <w:t xml:space="preserve"> is ellenőriztetni kell. Az egyesüléssel érintett jogi személyek döntése alapján a vagyonmérleg-tervezetek ellenőrzése során valamennyi jogi személy esetében eljárhat ugyanaz a független könyvvizsgáló.</w:t>
      </w:r>
    </w:p>
    <w:p w:rsidR="00AB788B" w:rsidRPr="006F0FE3" w:rsidRDefault="00AB788B" w:rsidP="00AB788B">
      <w:pPr>
        <w:jc w:val="both"/>
        <w:rPr>
          <w:rFonts w:ascii="Times New Roman" w:hAnsi="Times New Roman" w:cs="Times New Roman"/>
          <w:b/>
          <w:bCs/>
        </w:rPr>
      </w:pPr>
      <w:r w:rsidRPr="006F0FE3">
        <w:rPr>
          <w:rFonts w:ascii="Times New Roman" w:hAnsi="Times New Roman" w:cs="Times New Roman"/>
        </w:rPr>
        <w:t xml:space="preserve">Az Átalakulási tv. 6. § (1) bekezdése szerint a vagyonmérleg-tervezet fordulónapjától a döntés időpontjáig - a 4. § (3) bekezdése és a 8. § esetét kivéve - nem telhet el hosszabb idő, mint három hónap. A fordulónap az erről határozó ülés időpontjánál korábbi is lehet. </w:t>
      </w:r>
      <w:r w:rsidRPr="006F0FE3">
        <w:rPr>
          <w:rFonts w:ascii="Times New Roman" w:hAnsi="Times New Roman" w:cs="Times New Roman"/>
          <w:b/>
          <w:bCs/>
        </w:rPr>
        <w:t>Az egyesülő társaságok ügyvezetése a 2023. december 31-i összeolvadás megvalósíthatósága érdekében a vagyonleltár- és vagyonmérleg-tervezetek fordulónapjának 2023. július 31. napját határozta meg.</w:t>
      </w:r>
    </w:p>
    <w:p w:rsidR="00AB788B" w:rsidRPr="006F0FE3" w:rsidRDefault="00AB788B" w:rsidP="00AB788B">
      <w:pPr>
        <w:shd w:val="clear" w:color="auto" w:fill="FFFFFF"/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</w:rPr>
        <w:t xml:space="preserve">Az Átalakulási tv. </w:t>
      </w:r>
      <w:proofErr w:type="gramStart"/>
      <w:r w:rsidRPr="006F0FE3">
        <w:rPr>
          <w:rFonts w:ascii="Times New Roman" w:hAnsi="Times New Roman" w:cs="Times New Roman"/>
        </w:rPr>
        <w:t>rendelkezései</w:t>
      </w:r>
      <w:proofErr w:type="gramEnd"/>
      <w:r w:rsidRPr="006F0FE3">
        <w:rPr>
          <w:rFonts w:ascii="Times New Roman" w:hAnsi="Times New Roman" w:cs="Times New Roman"/>
        </w:rPr>
        <w:t xml:space="preserve"> szerint a jogi személy vagyonának értékét, a saját tőke összegét a könyvvizsgáló által elfogadottnál magasabb értékben nem lehet meghatározni. Az átalakulási tervet a tagokkal írásban közölni kell. Az egyesülési tervet akkor kell elfogadottnak tekinteni, ha azt az egyesülésben részt vevő valamennyi jogi személy elfogadta.</w:t>
      </w:r>
      <w:r w:rsidRPr="006F0FE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B788B" w:rsidRPr="000D33EF" w:rsidRDefault="00AB788B" w:rsidP="00AB788B">
      <w:pPr>
        <w:jc w:val="both"/>
        <w:rPr>
          <w:rFonts w:ascii="Times New Roman" w:hAnsi="Times New Roman" w:cs="Times New Roman"/>
          <w:iCs/>
        </w:rPr>
      </w:pPr>
      <w:r w:rsidRPr="006F0FE3">
        <w:rPr>
          <w:rFonts w:ascii="Times New Roman" w:hAnsi="Times New Roman" w:cs="Times New Roman"/>
          <w:iCs/>
        </w:rPr>
        <w:t xml:space="preserve">A törvény elismeri a tagsággal rendelkező jogi személyek tagjainak azt a </w:t>
      </w:r>
      <w:r w:rsidRPr="006F0FE3">
        <w:rPr>
          <w:rFonts w:ascii="Times New Roman" w:hAnsi="Times New Roman" w:cs="Times New Roman"/>
          <w:b/>
          <w:iCs/>
        </w:rPr>
        <w:t>jogát</w:t>
      </w:r>
      <w:r w:rsidRPr="006F0FE3">
        <w:rPr>
          <w:rFonts w:ascii="Times New Roman" w:hAnsi="Times New Roman" w:cs="Times New Roman"/>
          <w:iCs/>
        </w:rPr>
        <w:t xml:space="preserve">, hogy szabadon válasszák meg, milyen típusú jogi személy tagjai kívánnak lenni és ezért megadja számukra a döntési lehetőséget abban a kérdésben, hogy a létrejövő jogi személyben </w:t>
      </w:r>
      <w:r w:rsidRPr="006F0FE3">
        <w:rPr>
          <w:rFonts w:ascii="Times New Roman" w:hAnsi="Times New Roman" w:cs="Times New Roman"/>
          <w:b/>
          <w:iCs/>
        </w:rPr>
        <w:t>fenn akarják-e tartani a jogelőd jogi személyben fennálló tagságukat</w:t>
      </w:r>
      <w:r w:rsidRPr="006F0FE3">
        <w:rPr>
          <w:rFonts w:ascii="Times New Roman" w:hAnsi="Times New Roman" w:cs="Times New Roman"/>
          <w:iCs/>
        </w:rPr>
        <w:t xml:space="preserve">. Ha valamelyik tag </w:t>
      </w:r>
      <w:r w:rsidRPr="006F0FE3">
        <w:rPr>
          <w:rFonts w:ascii="Times New Roman" w:hAnsi="Times New Roman" w:cs="Times New Roman"/>
          <w:b/>
          <w:iCs/>
        </w:rPr>
        <w:t>nem kíván</w:t>
      </w:r>
      <w:r w:rsidRPr="006F0FE3">
        <w:rPr>
          <w:rFonts w:ascii="Times New Roman" w:hAnsi="Times New Roman" w:cs="Times New Roman"/>
          <w:iCs/>
        </w:rPr>
        <w:t xml:space="preserve"> az egyesülésben részt venni, a jogi személy köteles a tagjával </w:t>
      </w:r>
      <w:r w:rsidRPr="006F0FE3">
        <w:rPr>
          <w:rFonts w:ascii="Times New Roman" w:hAnsi="Times New Roman" w:cs="Times New Roman"/>
          <w:b/>
          <w:iCs/>
        </w:rPr>
        <w:t>elszámolni</w:t>
      </w:r>
      <w:r w:rsidRPr="006F0FE3">
        <w:rPr>
          <w:rFonts w:ascii="Times New Roman" w:hAnsi="Times New Roman" w:cs="Times New Roman"/>
          <w:iCs/>
        </w:rPr>
        <w:t>, a tagsági részesedés értékét részére kifizetni. Mivel a kifizetés a jogi személy vagyonából történik, ezért ez megváltoztatja az átalakulás feltételeit, amit az átalakulási tervben is át kell vezetni, és a kimaradó tagok figyelmen kívül hagyásával kell az új jogi személy</w:t>
      </w:r>
      <w:r>
        <w:rPr>
          <w:rFonts w:ascii="Times New Roman" w:hAnsi="Times New Roman" w:cs="Times New Roman"/>
          <w:iCs/>
        </w:rPr>
        <w:t xml:space="preserve"> társasági szerződését, valamint a kapcsolódó dokumentumokat megalkotni.</w:t>
      </w: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proofErr w:type="gramStart"/>
      <w:r w:rsidRPr="006F0FE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z egyesülésben részt vevő társaságok </w:t>
      </w:r>
      <w:r w:rsidRPr="006F0FE3">
        <w:rPr>
          <w:rFonts w:ascii="Times New Roman" w:hAnsi="Times New Roman" w:cs="Times New Roman"/>
          <w:bCs/>
        </w:rPr>
        <w:t>megvizsgált</w:t>
      </w:r>
      <w:r>
        <w:rPr>
          <w:rFonts w:ascii="Times New Roman" w:hAnsi="Times New Roman" w:cs="Times New Roman"/>
          <w:bCs/>
        </w:rPr>
        <w:t>ák</w:t>
      </w:r>
      <w:r w:rsidRPr="006F0FE3">
        <w:rPr>
          <w:rFonts w:ascii="Times New Roman" w:hAnsi="Times New Roman" w:cs="Times New Roman"/>
          <w:bCs/>
        </w:rPr>
        <w:t xml:space="preserve"> a beolvadással megvalósuló egyesülés jogi és számviteli feltételeit, az átalakuláshoz szükséges okiratok, az átalakulási terv</w:t>
      </w:r>
      <w:r w:rsidR="00E25F61">
        <w:rPr>
          <w:rFonts w:ascii="Times New Roman" w:hAnsi="Times New Roman" w:cs="Times New Roman"/>
          <w:bCs/>
        </w:rPr>
        <w:t xml:space="preserve"> elkészítésre kerültek, </w:t>
      </w:r>
      <w:r w:rsidRPr="006F0FE3">
        <w:rPr>
          <w:rFonts w:ascii="Times New Roman" w:hAnsi="Times New Roman" w:cs="Times New Roman"/>
          <w:bCs/>
        </w:rPr>
        <w:t>mely tartalmazza többek között a 2023. július 31. napra – mint mérlegfordulónapra – vonatkozó vagyonmérleg-tervezetet és vagyonleltár-tervezetet, az egyesülési szerződést, valamint a jogutód átvevő társaság létesítő okiratának tervezetét</w:t>
      </w:r>
      <w:r>
        <w:rPr>
          <w:rFonts w:ascii="Times New Roman" w:hAnsi="Times New Roman" w:cs="Times New Roman"/>
          <w:bCs/>
        </w:rPr>
        <w:t>, azon feltevésre alapítottan, hogy valamennyi a beolvadó, valamint az átvevő társaságban tulajdoni részesedéssel rendelkező tag a beolvadásban részt kíván venni.</w:t>
      </w:r>
      <w:proofErr w:type="gramEnd"/>
    </w:p>
    <w:p w:rsidR="00AB788B" w:rsidRDefault="00AB788B" w:rsidP="00AB788B">
      <w:pPr>
        <w:spacing w:line="100" w:lineRule="atLeast"/>
        <w:jc w:val="both"/>
        <w:rPr>
          <w:rFonts w:ascii="Times New Roman" w:hAnsi="Times New Roman" w:cs="Times New Roman"/>
          <w:b/>
          <w:bCs/>
        </w:rPr>
      </w:pPr>
      <w:r w:rsidRPr="006F0FE3">
        <w:rPr>
          <w:rFonts w:ascii="Times New Roman" w:hAnsi="Times New Roman" w:cs="Times New Roman"/>
          <w:b/>
          <w:bCs/>
        </w:rPr>
        <w:t xml:space="preserve">Következő lépésben az egyesülésben résztvevő társaságok legfőbb döntéshozó szerveinek határozatára van szükség, mely során az egyesülésben résztvevő társaságok elfogadják az egyesülési tervet és annak mellékleteit, továbbá az átvevő </w:t>
      </w:r>
      <w:proofErr w:type="gramStart"/>
      <w:r w:rsidRPr="006F0FE3">
        <w:rPr>
          <w:rFonts w:ascii="Times New Roman" w:hAnsi="Times New Roman" w:cs="Times New Roman"/>
          <w:b/>
          <w:bCs/>
        </w:rPr>
        <w:t>társaság létesítő</w:t>
      </w:r>
      <w:proofErr w:type="gramEnd"/>
      <w:r w:rsidRPr="006F0FE3">
        <w:rPr>
          <w:rFonts w:ascii="Times New Roman" w:hAnsi="Times New Roman" w:cs="Times New Roman"/>
          <w:b/>
          <w:bCs/>
        </w:rPr>
        <w:t xml:space="preserve"> okiratának módosítását.</w:t>
      </w:r>
    </w:p>
    <w:p w:rsidR="00AB788B" w:rsidRDefault="00AB788B" w:rsidP="00AB788B">
      <w:pPr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Tekintettel arra, hogy a döntéshez szükséges valamennyi dokumentum elkészült, biztosított a lehetősége annak, hogy egy taggyűlés keretében lehessen határozni a beolvadásról. </w:t>
      </w:r>
    </w:p>
    <w:p w:rsidR="00AB788B" w:rsidRPr="006F0FE3" w:rsidRDefault="00AB788B" w:rsidP="00AB788B">
      <w:pPr>
        <w:spacing w:line="100" w:lineRule="atLeast"/>
        <w:jc w:val="both"/>
        <w:rPr>
          <w:rFonts w:ascii="Times New Roman" w:hAnsi="Times New Roman" w:cs="Times New Roman"/>
        </w:rPr>
      </w:pPr>
      <w:r w:rsidRPr="006F0FE3">
        <w:rPr>
          <w:rFonts w:ascii="Times New Roman" w:hAnsi="Times New Roman" w:cs="Times New Roman"/>
        </w:rPr>
        <w:t>Az egyesülő társaságok várhatóan 2023. október 30-án tartják taggyűlésüket, melyen dönteni kívánnak az egyesülés végleges elhatározásáról, az egyesülési terv elfogadásáról, és a jogszabályban meghatározott, szükséges és kapcsolódó határozatok meghozataláról.</w:t>
      </w:r>
    </w:p>
    <w:p w:rsidR="00AB788B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fentiekre tekintettel a Képviselő-testület felhatalmazása szükséges az átalakulásban (beolvadó társaságként) résztvevő FBH-NP Nonprofit Kft. taggyűlésén történő szavazáshoz.</w:t>
      </w:r>
    </w:p>
    <w:p w:rsidR="00E25F61" w:rsidRPr="002045CC" w:rsidRDefault="00E25F61" w:rsidP="00E25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Tisztelt Képviselő-testületet az előterjesztés megtárgyalására és a határozati javaslat elfogadására. </w:t>
      </w:r>
    </w:p>
    <w:p w:rsidR="00E25F61" w:rsidRPr="002045CC" w:rsidRDefault="00E25F61" w:rsidP="00E25F61">
      <w:pPr>
        <w:pStyle w:val="Cmsor2"/>
        <w:spacing w:before="100" w:beforeAutospacing="1" w:after="100" w:afterAutospacing="1"/>
      </w:pPr>
      <w:r w:rsidRPr="002045CC">
        <w:t>HATÁROZATI JAVASLAT</w:t>
      </w:r>
    </w:p>
    <w:p w:rsidR="00E25F61" w:rsidRPr="00E25F61" w:rsidRDefault="00E25F61" w:rsidP="00E25F61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Önkormányzatának Képviselő-testülete megtárgyalta a „</w:t>
      </w:r>
      <w:r w:rsidRPr="00434128">
        <w:rPr>
          <w:rFonts w:ascii="Times New Roman" w:hAnsi="Times New Roman" w:cs="Times New Roman"/>
          <w:bCs/>
          <w:sz w:val="24"/>
          <w:szCs w:val="24"/>
        </w:rPr>
        <w:t>Az FBH-NP Közszolgáltató Nonprofit Korlátolt Felelősségű Társaság, mint beolvadó társaság vonatkozásában az FBH-NP Közszolgáltató Nonprofit Korlátolt Felelősségű Társaságnak a Duna-Tisza közi Hulladékgazdálkodási Nonprofit Kft.-</w:t>
      </w:r>
      <w:proofErr w:type="gramStart"/>
      <w:r w:rsidRPr="00434128">
        <w:rPr>
          <w:rFonts w:ascii="Times New Roman" w:hAnsi="Times New Roman" w:cs="Times New Roman"/>
          <w:bCs/>
          <w:sz w:val="24"/>
          <w:szCs w:val="24"/>
        </w:rPr>
        <w:t>be történő</w:t>
      </w:r>
      <w:proofErr w:type="gramEnd"/>
      <w:r w:rsidRPr="00434128">
        <w:rPr>
          <w:rFonts w:ascii="Times New Roman" w:hAnsi="Times New Roman" w:cs="Times New Roman"/>
          <w:bCs/>
          <w:sz w:val="24"/>
          <w:szCs w:val="24"/>
        </w:rPr>
        <w:t xml:space="preserve"> beolvadásáról, a beolvadással megvalósuló egyesüléséről, az ahhoz kapcsolódó </w:t>
      </w:r>
      <w:r w:rsidRPr="00CF553F">
        <w:rPr>
          <w:rFonts w:ascii="Times New Roman" w:hAnsi="Times New Roman" w:cs="Times New Roman"/>
          <w:bCs/>
          <w:sz w:val="24"/>
          <w:szCs w:val="24"/>
        </w:rPr>
        <w:t>végleges döntések meghozatala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című előterjesztést és az alábbi döntést hozza: </w:t>
      </w:r>
    </w:p>
    <w:p w:rsidR="00E25F61" w:rsidRDefault="00E25F61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  <w:bCs/>
        </w:rPr>
      </w:pPr>
    </w:p>
    <w:p w:rsidR="00AB788B" w:rsidRPr="00434128" w:rsidRDefault="00AB788B" w:rsidP="00AB788B">
      <w:pPr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>A</w:t>
      </w:r>
      <w:r w:rsidR="00E25F61">
        <w:rPr>
          <w:rFonts w:ascii="Times New Roman" w:hAnsi="Times New Roman" w:cs="Times New Roman"/>
          <w:sz w:val="24"/>
          <w:szCs w:val="24"/>
        </w:rPr>
        <w:t xml:space="preserve"> Csongrád Városi Önkormányzat</w:t>
      </w:r>
      <w:r w:rsidRPr="00434128">
        <w:rPr>
          <w:rFonts w:ascii="Times New Roman" w:hAnsi="Times New Roman" w:cs="Times New Roman"/>
          <w:sz w:val="24"/>
          <w:szCs w:val="24"/>
        </w:rPr>
        <w:t>, az FBH-NP Közszolgáltató Nonprofit Korlátolt Felelősségű Társaság (a továbbiakban: FBH-NP Nonprofit KFT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székhelye: 6521 Vaskút, 0551/2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>.; cégjegyzékszáma: 03 09 126039) tagjaként eljárva:</w:t>
      </w: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az egyes jogi személyek átalakulásáról, egyesüléséről, szétválásáról szóló 2013. évi CLXXVI. törvény (Átalakulási tv.) 8. § (1) bekezdésében foglaltaknak megfelelően egyetért az </w:t>
      </w:r>
      <w:r w:rsidRPr="00434128">
        <w:rPr>
          <w:rFonts w:ascii="Times New Roman" w:hAnsi="Times New Roman" w:cs="Times New Roman"/>
          <w:b/>
          <w:bCs/>
          <w:sz w:val="24"/>
          <w:szCs w:val="24"/>
        </w:rPr>
        <w:t>FBH-NP Nonprofit KFT</w:t>
      </w:r>
      <w:r w:rsidRPr="00434128">
        <w:rPr>
          <w:rFonts w:ascii="Times New Roman" w:hAnsi="Times New Roman" w:cs="Times New Roman"/>
          <w:sz w:val="24"/>
          <w:szCs w:val="24"/>
        </w:rPr>
        <w:t xml:space="preserve">. (székhelye: 6521 Vaskút, 0551/2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>.; cégjegyzékszáma: 03 09 126039; adószám: 24290054-2-03; mint „</w:t>
      </w:r>
      <w:r w:rsidRPr="00434128">
        <w:rPr>
          <w:rFonts w:ascii="Times New Roman" w:hAnsi="Times New Roman" w:cs="Times New Roman"/>
          <w:b/>
          <w:bCs/>
          <w:sz w:val="24"/>
          <w:szCs w:val="24"/>
        </w:rPr>
        <w:t>Beolvadó Társaság</w:t>
      </w:r>
      <w:r w:rsidRPr="00434128">
        <w:rPr>
          <w:rFonts w:ascii="Times New Roman" w:hAnsi="Times New Roman" w:cs="Times New Roman"/>
          <w:sz w:val="24"/>
          <w:szCs w:val="24"/>
        </w:rPr>
        <w:t xml:space="preserve">”) </w:t>
      </w:r>
      <w:r w:rsidRPr="00434128">
        <w:rPr>
          <w:rFonts w:ascii="Times New Roman" w:hAnsi="Times New Roman" w:cs="Times New Roman"/>
          <w:b/>
          <w:bCs/>
          <w:sz w:val="24"/>
          <w:szCs w:val="24"/>
        </w:rPr>
        <w:t>Duna-Tisza közi Hulladékgazdálkodási Nonprofit Kft</w:t>
      </w:r>
      <w:r w:rsidRPr="00434128">
        <w:rPr>
          <w:rFonts w:ascii="Times New Roman" w:hAnsi="Times New Roman" w:cs="Times New Roman"/>
          <w:sz w:val="24"/>
          <w:szCs w:val="24"/>
        </w:rPr>
        <w:t xml:space="preserve">.-be (cégjegyzékszám: 03-09-131340, székhely: 6000 Kecskemét, Kisfái 248. 0737/12.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>., adószám: 12564392-2-03, mint „</w:t>
      </w:r>
      <w:r w:rsidRPr="00434128">
        <w:rPr>
          <w:rFonts w:ascii="Times New Roman" w:hAnsi="Times New Roman" w:cs="Times New Roman"/>
          <w:b/>
          <w:bCs/>
          <w:sz w:val="24"/>
          <w:szCs w:val="24"/>
        </w:rPr>
        <w:t>Átvevő Társaság</w:t>
      </w:r>
      <w:r w:rsidRPr="00434128">
        <w:rPr>
          <w:rFonts w:ascii="Times New Roman" w:hAnsi="Times New Roman" w:cs="Times New Roman"/>
          <w:sz w:val="24"/>
          <w:szCs w:val="24"/>
        </w:rPr>
        <w:t>”) (Beolvadó Társaság és Átvevő Társaság a továbbiakban együtt: „</w:t>
      </w:r>
      <w:r w:rsidRPr="00434128">
        <w:rPr>
          <w:rFonts w:ascii="Times New Roman" w:hAnsi="Times New Roman" w:cs="Times New Roman"/>
          <w:b/>
          <w:bCs/>
          <w:sz w:val="24"/>
          <w:szCs w:val="24"/>
        </w:rPr>
        <w:t>Egyesülő Társaságok</w:t>
      </w:r>
      <w:r w:rsidRPr="00434128">
        <w:rPr>
          <w:rFonts w:ascii="Times New Roman" w:hAnsi="Times New Roman" w:cs="Times New Roman"/>
          <w:sz w:val="24"/>
          <w:szCs w:val="24"/>
        </w:rPr>
        <w:t xml:space="preserve">”) történő </w:t>
      </w:r>
      <w:proofErr w:type="gramStart"/>
      <w:r w:rsidRPr="00434128">
        <w:rPr>
          <w:rFonts w:ascii="Times New Roman" w:hAnsi="Times New Roman" w:cs="Times New Roman"/>
          <w:b/>
          <w:bCs/>
          <w:sz w:val="24"/>
          <w:szCs w:val="24"/>
          <w:u w:val="single"/>
        </w:rPr>
        <w:t>beolvadásával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azzal, hogy Beolvadó Társaság jogutódlással történő megszűnésével és beolvadásával az Átvevő Társaság változatlan formában, nonprofit korlátolt felelősségű társaságként, a 6000 Kecskemét, Kisfái 248. 0737/12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alatti székhelyén, a beolvadást követően fióktelepeit a beolvadó társaság fióktelepeivel kibővítve működik tovább, az ügyvezetését és képviseletét folyamatosan és változatlanul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Agatics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Roland, dr.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Balics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István ügyvezetők határozatlan időtartamig és 2023. december 31-ig Csongor Attila cégvezető látják el önálló aláírási joggal. Az egyesülés módja a Beolvadó Társaság és az Átvevő Társaság vonatkozásában a Polgári Törvénykönyvről szóló 2013. évi V. törvény (Ptk.) 3:44. § (1) bekezdés szerinti beolvadás;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>nyilatkozik arról, hogy a beolvadás folytán létrejövő jogutód Átvevő Társaság tagja kíván lenni;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>egyetért azzal, hogy az Átalakulási tv. 2. § (3) bekezdése alapján a Beolvadó Társaság Átvevő Társaságba történő beolvadásához szükséges vagyonmérleg-tervezet és vagyonleltár-tervezet fordulónapjaként a Beolvadó Társaság 2023. üzleti év közbenső mérlegének fordulónapja, azaz 2023. július 31. napja kerüljön meghatározásra;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egyetért azzal, hogy az Átalakulási tv. 6. § (6) bekezdése alapján a beolvadáshoz fűződő joghatások beállásának napjaként 2023. december 31. napja kerüljön megjelölésre azzal, hogy amennyiben a beolvadás cégbírósági bejegyzése e napot követően történik meg, úgy a joghatások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beállásának napja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a cégbírósági bejegyzés napja lesz, a cégnyilvánosságról, a bírósági cégeljárásról és a végelszámolásról szóló 2006. évi V. törvény (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Ctv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>.) 57. § (2) bekezdése alapján;</w:t>
      </w: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497904"/>
      <w:r w:rsidRPr="00434128">
        <w:rPr>
          <w:rFonts w:ascii="Times New Roman" w:hAnsi="Times New Roman" w:cs="Times New Roman"/>
          <w:sz w:val="24"/>
          <w:szCs w:val="24"/>
        </w:rPr>
        <w:t xml:space="preserve">elfogadja dr.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Francsovics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István (1107 Budapest X. ker., Gém utca 2/B.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fsz. 3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MKVK azonosító: 002144) könyvvizsgálót a beolvadás könyvvizsgálójaként az Átalakulási tv. 4. § (6) bekezdése, majd az Átalakulási tv. 11. § (2a) bekezdése alapján;</w:t>
      </w:r>
      <w:bookmarkEnd w:id="1"/>
    </w:p>
    <w:p w:rsidR="00AB788B" w:rsidRPr="00434128" w:rsidRDefault="00AB788B" w:rsidP="00AB788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megismerte és jóváhagyja a 2023. július 31-i fordulónappal elkészített és dr.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Francsovics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István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mint független könyvvizsgáló által, valamint a társaságnál működő felügyelőbizottság által ellenőrzött vagyonmérleg tervezeteket és az azokat alátámasztó vagyonleltár tervezeteket mind az átalakuló (egyesülő) mint pedig a jogutódtársaság tekintetében. Az egyesüléssel érintett társaságok az átértékelés lehetőségével nem éltek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>megismerte és az Átalakulási tv. 14. §-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foglaltak szerint elfogadja az előterjesztés szerinti, írásban előzetesen közölt, a beolvadásra kiterjedő Egyesülési tervet</w:t>
      </w:r>
      <w:r w:rsidRPr="00434128">
        <w:t xml:space="preserve"> </w:t>
      </w:r>
      <w:r w:rsidRPr="00434128">
        <w:rPr>
          <w:rFonts w:ascii="Times New Roman" w:hAnsi="Times New Roman" w:cs="Times New Roman"/>
          <w:sz w:val="24"/>
          <w:szCs w:val="24"/>
        </w:rPr>
        <w:t>és mellékleteit, valamint Egyesülési szerződést, azok mellékleteivel együtt, egyúttal felhatalmazza a polgármestert, valamint felkéri és felhatalmazza a Beolvadó Társaság ügyvezetőjét az Egyesülési terv, az Egyesülési szerződés és mellékleteik aláírására;</w:t>
      </w: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megismerte és az Átalakulási tv. 18. § (1) bekezdés e) pontjában foglaltak szerint jóváhagyja a jogutód Átvevő Társaság, azaz a Duna-Tisza közi Hulladékgazdálkodási Nonprofit Kft. egyesülés folytán szükséges módosításokkal egységes szerkezetbe foglalt Társasági szerződését az előterjesztés szerinti tartalommal, egyúttal felhatalmazza a polgármestert arra, hogy a módosításokkal egységes szerkezetbe foglalt Társasági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 xml:space="preserve">szerződést </w:t>
      </w:r>
      <w:r w:rsidR="00E25F61">
        <w:rPr>
          <w:rFonts w:ascii="Times New Roman" w:hAnsi="Times New Roman" w:cs="Times New Roman"/>
          <w:sz w:val="24"/>
          <w:szCs w:val="24"/>
        </w:rPr>
        <w:t xml:space="preserve"> Csongrád</w:t>
      </w:r>
      <w:proofErr w:type="gramEnd"/>
      <w:r w:rsidR="00E25F61">
        <w:rPr>
          <w:rFonts w:ascii="Times New Roman" w:hAnsi="Times New Roman" w:cs="Times New Roman"/>
          <w:sz w:val="24"/>
          <w:szCs w:val="24"/>
        </w:rPr>
        <w:t xml:space="preserve"> Városi</w:t>
      </w:r>
      <w:r w:rsidRPr="00434128">
        <w:rPr>
          <w:rFonts w:ascii="Times New Roman" w:hAnsi="Times New Roman" w:cs="Times New Roman"/>
          <w:sz w:val="24"/>
          <w:szCs w:val="24"/>
        </w:rPr>
        <w:t xml:space="preserve"> Önkormányzat képviseletében eljárva írja alá;</w:t>
      </w: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7924771"/>
      <w:r w:rsidRPr="00434128">
        <w:rPr>
          <w:rFonts w:ascii="Times New Roman" w:hAnsi="Times New Roman" w:cs="Times New Roman"/>
          <w:sz w:val="24"/>
          <w:szCs w:val="24"/>
        </w:rPr>
        <w:t>az Egyesülő Társaságok tagjaként</w:t>
      </w:r>
      <w:bookmarkEnd w:id="2"/>
      <w:r w:rsidRPr="00434128">
        <w:rPr>
          <w:rFonts w:ascii="Times New Roman" w:hAnsi="Times New Roman" w:cs="Times New Roman"/>
          <w:sz w:val="24"/>
          <w:szCs w:val="24"/>
        </w:rPr>
        <w:t xml:space="preserve"> felkéri és felhatalmazza az Átvevő Társaság ügyvezetőjét, hogy a tisztességtelen piaci magatartás és a versenykorlátozás tilalmáról szóló 1996. évi LVII. törvény 24.§ alapján az egyesüléssel kapcsolatos bejelentést tegye meg a Gazdasági Versenyhivatalnál (GVH) és kezdeményezzen eljárást a tekintetben, hogy az egyesüléshez szükséges-e a GVH előzetes engedélye. Tudomásul veszi, hogy amennyiben a GVH előzetes engedélye szükséges az egyesüléshez, az egyesülés az engedély megadását, vagy amennyiben az engedély nem szükséges, a GVH nemleges nyilatkozatának kézhezvételét követően jöhet csak létre;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az Egyesülő Társaságok tagjaként az Átalakulási tv. 14. § (5) bekezdésére tekintettel felkéri a Duna-Tisza közi Hulladékgazdálkodási Nonprofit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Kft.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mint Átvevő Társaság ügyvezetőjét arra, hogy gondoskodjon jelen döntés meghozataláról szóló, jogszabályban meghatározott tartalmú közlemény Cégközlönyben történő közzétételének kezdeményezéséről az i) pontban foglaltak figyelembevételével;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felkéri és felhatalmazza az Átvevő Társaság ügyvezetőjét, hogy a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Ctv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>. 59. § (1) bekezdése szerint intézkedjen a beolvadás illetékes Cégbírósághoz történő bejelentéséről az i) pontban foglaltak figyelembevételével;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felhatalmazza a polgármestert vagy az általa delegált személyt arra, hogy a Beolvadó Társaság taggyűlésén olyan határozat hozatalában vegyen részt, amely az Egyesülési tervben meghatározott átalakulást (beolvadást) elhatározza, az Egyesülési tervet és mellékleteit – közte az Átvevő </w:t>
      </w:r>
      <w:proofErr w:type="gramStart"/>
      <w:r w:rsidRPr="00434128">
        <w:rPr>
          <w:rFonts w:ascii="Times New Roman" w:hAnsi="Times New Roman" w:cs="Times New Roman"/>
          <w:sz w:val="24"/>
          <w:szCs w:val="24"/>
        </w:rPr>
        <w:t>Társaság létesítő</w:t>
      </w:r>
      <w:proofErr w:type="gramEnd"/>
      <w:r w:rsidRPr="00434128">
        <w:rPr>
          <w:rFonts w:ascii="Times New Roman" w:hAnsi="Times New Roman" w:cs="Times New Roman"/>
          <w:sz w:val="24"/>
          <w:szCs w:val="24"/>
        </w:rPr>
        <w:t xml:space="preserve"> okirat módosítását – elfogadja jelen határozat a-m) pontjában foglaltaknak megfelelően;</w:t>
      </w: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numPr>
          <w:ilvl w:val="0"/>
          <w:numId w:val="4"/>
        </w:numPr>
        <w:spacing w:after="160" w:line="259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sz w:val="24"/>
          <w:szCs w:val="24"/>
        </w:rPr>
        <w:t xml:space="preserve">felkéri és felhatalmazza az Átvevő Társaság ügyvezetőjét, hogy a társaság munkavállalóit az egyesülés tényéről és </w:t>
      </w:r>
      <w:proofErr w:type="spellStart"/>
      <w:r w:rsidRPr="00434128">
        <w:rPr>
          <w:rFonts w:ascii="Times New Roman" w:hAnsi="Times New Roman" w:cs="Times New Roman"/>
          <w:sz w:val="24"/>
          <w:szCs w:val="24"/>
        </w:rPr>
        <w:t>határidejéről</w:t>
      </w:r>
      <w:proofErr w:type="spellEnd"/>
      <w:r w:rsidRPr="00434128">
        <w:rPr>
          <w:rFonts w:ascii="Times New Roman" w:hAnsi="Times New Roman" w:cs="Times New Roman"/>
          <w:sz w:val="24"/>
          <w:szCs w:val="24"/>
        </w:rPr>
        <w:t xml:space="preserve"> tájékoztassa az i) pontban foglaltak figyelembevételével.</w:t>
      </w:r>
    </w:p>
    <w:p w:rsidR="00AB788B" w:rsidRPr="00434128" w:rsidRDefault="00AB788B" w:rsidP="00AB788B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B788B" w:rsidRPr="00434128" w:rsidRDefault="00AB788B" w:rsidP="00AB788B">
      <w:pPr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b/>
          <w:bCs/>
          <w:sz w:val="24"/>
          <w:szCs w:val="24"/>
        </w:rPr>
        <w:t>Határidő</w:t>
      </w:r>
      <w:r w:rsidRPr="00434128">
        <w:rPr>
          <w:rFonts w:ascii="Times New Roman" w:hAnsi="Times New Roman" w:cs="Times New Roman"/>
          <w:sz w:val="24"/>
          <w:szCs w:val="24"/>
        </w:rPr>
        <w:t xml:space="preserve">: azonnal, illetve jogszabály szerint </w:t>
      </w:r>
    </w:p>
    <w:p w:rsidR="00AB788B" w:rsidRPr="00434128" w:rsidRDefault="00AB788B" w:rsidP="00AB788B">
      <w:pPr>
        <w:rPr>
          <w:rFonts w:ascii="Times New Roman" w:hAnsi="Times New Roman" w:cs="Times New Roman"/>
          <w:sz w:val="24"/>
          <w:szCs w:val="24"/>
        </w:rPr>
      </w:pPr>
      <w:r w:rsidRPr="00434128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Pr="00434128">
        <w:rPr>
          <w:rFonts w:ascii="Times New Roman" w:hAnsi="Times New Roman" w:cs="Times New Roman"/>
          <w:sz w:val="24"/>
          <w:szCs w:val="24"/>
        </w:rPr>
        <w:t xml:space="preserve">: </w:t>
      </w:r>
      <w:r w:rsidR="00E25F61"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434128">
        <w:rPr>
          <w:rFonts w:ascii="Times New Roman" w:hAnsi="Times New Roman" w:cs="Times New Roman"/>
          <w:sz w:val="24"/>
          <w:szCs w:val="24"/>
        </w:rPr>
        <w:t>polgármester</w:t>
      </w:r>
    </w:p>
    <w:p w:rsidR="00AB788B" w:rsidRPr="006F0FE3" w:rsidRDefault="00AB788B" w:rsidP="00AB788B">
      <w:pPr>
        <w:tabs>
          <w:tab w:val="left" w:pos="1950"/>
          <w:tab w:val="left" w:pos="8164"/>
        </w:tabs>
        <w:jc w:val="both"/>
        <w:rPr>
          <w:rFonts w:ascii="Times New Roman" w:hAnsi="Times New Roman" w:cs="Times New Roman"/>
        </w:rPr>
      </w:pPr>
    </w:p>
    <w:p w:rsidR="00E25F61" w:rsidRPr="002045CC" w:rsidRDefault="00E25F61" w:rsidP="00E25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E25F61" w:rsidRPr="002045CC" w:rsidRDefault="00E25F61" w:rsidP="00E25F61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E25F61" w:rsidRPr="002045CC" w:rsidRDefault="00E25F61" w:rsidP="00E25F61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E25F61" w:rsidRPr="002045CC" w:rsidRDefault="00E25F61" w:rsidP="00E25F61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E25F61" w:rsidRPr="002045CC" w:rsidRDefault="00E25F61" w:rsidP="00E25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F61" w:rsidRPr="002045CC" w:rsidRDefault="00E25F61" w:rsidP="00E25F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18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25F61" w:rsidRPr="002045CC" w:rsidRDefault="00E25F61" w:rsidP="00E25F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25F61" w:rsidRPr="002045CC" w:rsidRDefault="00E25F61" w:rsidP="00E25F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25F61" w:rsidRPr="002045CC" w:rsidRDefault="00E25F61" w:rsidP="00E25F6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E25F61" w:rsidRPr="002045CC" w:rsidRDefault="00E25F61" w:rsidP="00E25F6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4A5859" w:rsidRPr="002045CC" w:rsidRDefault="004A5859" w:rsidP="00AB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4A5859" w:rsidRPr="002045CC" w:rsidSect="0072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FA8"/>
    <w:multiLevelType w:val="multilevel"/>
    <w:tmpl w:val="3B1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5C5F71"/>
    <w:multiLevelType w:val="hybridMultilevel"/>
    <w:tmpl w:val="C3F62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C"/>
    <w:rsid w:val="000475FB"/>
    <w:rsid w:val="001123C4"/>
    <w:rsid w:val="001C0E1C"/>
    <w:rsid w:val="002045CC"/>
    <w:rsid w:val="0022576A"/>
    <w:rsid w:val="002266F3"/>
    <w:rsid w:val="002C205E"/>
    <w:rsid w:val="003820D7"/>
    <w:rsid w:val="003A5794"/>
    <w:rsid w:val="0046010D"/>
    <w:rsid w:val="004601C0"/>
    <w:rsid w:val="004A07E5"/>
    <w:rsid w:val="004A5859"/>
    <w:rsid w:val="005E292F"/>
    <w:rsid w:val="005F6588"/>
    <w:rsid w:val="00646BC7"/>
    <w:rsid w:val="00675FD4"/>
    <w:rsid w:val="0069363E"/>
    <w:rsid w:val="006B7907"/>
    <w:rsid w:val="00712196"/>
    <w:rsid w:val="007276E5"/>
    <w:rsid w:val="007C295E"/>
    <w:rsid w:val="008A67F1"/>
    <w:rsid w:val="008C6165"/>
    <w:rsid w:val="009B4561"/>
    <w:rsid w:val="00A629A8"/>
    <w:rsid w:val="00AA3317"/>
    <w:rsid w:val="00AB2EFD"/>
    <w:rsid w:val="00AB788B"/>
    <w:rsid w:val="00AF2042"/>
    <w:rsid w:val="00B707A8"/>
    <w:rsid w:val="00B920FC"/>
    <w:rsid w:val="00BC20DB"/>
    <w:rsid w:val="00CF553F"/>
    <w:rsid w:val="00DA3E4E"/>
    <w:rsid w:val="00DD4662"/>
    <w:rsid w:val="00E25F61"/>
    <w:rsid w:val="00F57262"/>
    <w:rsid w:val="00FB4D90"/>
    <w:rsid w:val="00F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A545"/>
  <w15:docId w15:val="{657BF307-1021-4410-990D-089292DE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6E5"/>
  </w:style>
  <w:style w:type="paragraph" w:styleId="Cmsor2">
    <w:name w:val="heading 2"/>
    <w:basedOn w:val="Norml"/>
    <w:next w:val="Norml"/>
    <w:link w:val="Cmsor2Char"/>
    <w:qFormat/>
    <w:rsid w:val="004A5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4601C0"/>
  </w:style>
  <w:style w:type="character" w:customStyle="1" w:styleId="Cmsor2Char">
    <w:name w:val="Címsor 2 Char"/>
    <w:basedOn w:val="Bekezdsalapbettpusa"/>
    <w:link w:val="Cmsor2"/>
    <w:rsid w:val="004A585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FB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B4D9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A5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29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3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tijus.hu/optijus/lawtext/1-A1300005.TV?tkertip=4&amp;tsearch=egyes&#252;l&#233;s*&amp;page_to=-1&amp;tvalid=2017.12.02.&amp;tdisp=00111&amp;tannot=0&amp;tadotb=0&amp;tline=sid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2203</Words>
  <Characters>15205</Characters>
  <Application>Microsoft Office Word</Application>
  <DocSecurity>4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Szvoboda Lászlóné</cp:lastModifiedBy>
  <cp:revision>2</cp:revision>
  <cp:lastPrinted>2023-10-18T13:26:00Z</cp:lastPrinted>
  <dcterms:created xsi:type="dcterms:W3CDTF">2023-10-19T07:02:00Z</dcterms:created>
  <dcterms:modified xsi:type="dcterms:W3CDTF">2023-10-19T07:02:00Z</dcterms:modified>
</cp:coreProperties>
</file>