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17" w:rsidRPr="00DD3B44" w:rsidRDefault="00BD70A3" w:rsidP="006C4F9D">
      <w:pPr>
        <w:ind w:left="270" w:firstLine="2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Csongrád</w:t>
      </w:r>
      <w:r w:rsidR="001B1717" w:rsidRPr="00DD3B44">
        <w:rPr>
          <w:b/>
          <w:sz w:val="28"/>
          <w:szCs w:val="28"/>
        </w:rPr>
        <w:t xml:space="preserve"> Város </w:t>
      </w:r>
    </w:p>
    <w:p w:rsidR="006C4F9D" w:rsidRPr="00DD3B44" w:rsidRDefault="006C4F9D" w:rsidP="006C4F9D">
      <w:pPr>
        <w:ind w:left="270" w:firstLine="285"/>
        <w:jc w:val="center"/>
        <w:rPr>
          <w:b/>
          <w:sz w:val="28"/>
          <w:szCs w:val="28"/>
        </w:rPr>
      </w:pPr>
      <w:r w:rsidRPr="00DD3B44">
        <w:rPr>
          <w:b/>
          <w:sz w:val="28"/>
          <w:szCs w:val="28"/>
        </w:rPr>
        <w:t>Belső ellenőrzés stratégiai terve</w:t>
      </w:r>
    </w:p>
    <w:p w:rsidR="006C4F9D" w:rsidRPr="00DD3B44" w:rsidRDefault="006C4F9D" w:rsidP="006C4F9D">
      <w:pPr>
        <w:ind w:left="270" w:firstLine="285"/>
        <w:jc w:val="center"/>
        <w:rPr>
          <w:b/>
          <w:sz w:val="28"/>
          <w:szCs w:val="28"/>
        </w:rPr>
      </w:pPr>
      <w:r w:rsidRPr="00DD3B44">
        <w:rPr>
          <w:b/>
          <w:sz w:val="28"/>
          <w:szCs w:val="28"/>
        </w:rPr>
        <w:t>20</w:t>
      </w:r>
      <w:r w:rsidR="004313C5">
        <w:rPr>
          <w:b/>
          <w:sz w:val="28"/>
          <w:szCs w:val="28"/>
        </w:rPr>
        <w:t>24</w:t>
      </w:r>
      <w:r w:rsidRPr="00DD3B44">
        <w:rPr>
          <w:b/>
          <w:sz w:val="28"/>
          <w:szCs w:val="28"/>
        </w:rPr>
        <w:t>-20</w:t>
      </w:r>
      <w:r w:rsidR="00B710CB">
        <w:rPr>
          <w:b/>
          <w:sz w:val="28"/>
          <w:szCs w:val="28"/>
        </w:rPr>
        <w:t>2</w:t>
      </w:r>
      <w:r w:rsidR="004313C5">
        <w:rPr>
          <w:b/>
          <w:sz w:val="28"/>
          <w:szCs w:val="28"/>
        </w:rPr>
        <w:t>7</w:t>
      </w:r>
      <w:r w:rsidRPr="00DD3B44">
        <w:rPr>
          <w:b/>
          <w:sz w:val="28"/>
          <w:szCs w:val="28"/>
        </w:rPr>
        <w:t>. évekre</w:t>
      </w:r>
    </w:p>
    <w:p w:rsidR="006C4F9D" w:rsidRPr="00DD3B44" w:rsidRDefault="006C4F9D" w:rsidP="006C4F9D">
      <w:pPr>
        <w:ind w:left="270" w:firstLine="285"/>
        <w:jc w:val="both"/>
      </w:pPr>
    </w:p>
    <w:p w:rsidR="001B1717" w:rsidRPr="00DD3B44" w:rsidRDefault="00BD70A3" w:rsidP="001B1717">
      <w:pPr>
        <w:spacing w:line="276" w:lineRule="auto"/>
        <w:jc w:val="both"/>
      </w:pPr>
      <w:r>
        <w:t>Csongrád</w:t>
      </w:r>
      <w:r w:rsidR="00C83FEA" w:rsidRPr="00DD3B44">
        <w:t xml:space="preserve"> Város</w:t>
      </w:r>
      <w:r w:rsidR="00AA0C43">
        <w:t>i</w:t>
      </w:r>
      <w:r w:rsidR="00C83FEA" w:rsidRPr="00DD3B44">
        <w:t xml:space="preserve"> Önkormányzat </w:t>
      </w:r>
      <w:r w:rsidR="006C4F9D" w:rsidRPr="00DD3B44">
        <w:t>belső ellenőrzés</w:t>
      </w:r>
      <w:r w:rsidR="001C5697" w:rsidRPr="00DD3B44">
        <w:t>ének</w:t>
      </w:r>
      <w:r w:rsidR="001B1717" w:rsidRPr="00DD3B44">
        <w:t xml:space="preserve"> a </w:t>
      </w:r>
      <w:r w:rsidR="001B1717" w:rsidRPr="00DD3B44">
        <w:rPr>
          <w:bCs/>
        </w:rPr>
        <w:t>370/2011. (XII. 31.) Korm. rendelet</w:t>
      </w:r>
    </w:p>
    <w:p w:rsidR="001B1717" w:rsidRPr="00DD3B44" w:rsidRDefault="001B1717" w:rsidP="001B1717">
      <w:pPr>
        <w:spacing w:line="276" w:lineRule="auto"/>
        <w:jc w:val="both"/>
      </w:pPr>
      <w:r w:rsidRPr="00DD3B44">
        <w:t>30.§ (1) alapján elkészített stratégiai ellenőrzési terve a kö</w:t>
      </w:r>
      <w:r w:rsidR="00DD3B44">
        <w:t xml:space="preserve">vetkező négy évre tartalmazza </w:t>
      </w:r>
      <w:proofErr w:type="gramStart"/>
      <w:r w:rsidR="00DD3B44">
        <w:t>a</w:t>
      </w:r>
      <w:proofErr w:type="gramEnd"/>
      <w:r w:rsidR="00DD3B44">
        <w:t>:</w:t>
      </w:r>
    </w:p>
    <w:p w:rsidR="001B1717" w:rsidRPr="00DD3B44" w:rsidRDefault="001B1717" w:rsidP="00DD3B44">
      <w:pPr>
        <w:numPr>
          <w:ilvl w:val="0"/>
          <w:numId w:val="8"/>
        </w:numPr>
        <w:spacing w:line="276" w:lineRule="auto"/>
        <w:jc w:val="both"/>
      </w:pPr>
      <w:r w:rsidRPr="00DD3B44">
        <w:t>hosszú távú célkitűzéseket, stratégiai célokat;</w:t>
      </w:r>
    </w:p>
    <w:p w:rsidR="001B1717" w:rsidRPr="00DD3B44" w:rsidRDefault="001B1717" w:rsidP="00DD3B44">
      <w:pPr>
        <w:numPr>
          <w:ilvl w:val="0"/>
          <w:numId w:val="8"/>
        </w:numPr>
        <w:spacing w:line="276" w:lineRule="auto"/>
        <w:jc w:val="both"/>
      </w:pPr>
      <w:r w:rsidRPr="00DD3B44">
        <w:t xml:space="preserve">a </w:t>
      </w:r>
      <w:bookmarkStart w:id="0" w:name="xcel20"/>
      <w:r w:rsidRPr="00DD3B44">
        <w:t>belső kontroll</w:t>
      </w:r>
      <w:bookmarkEnd w:id="0"/>
      <w:r w:rsidRPr="00DD3B44">
        <w:t>rendszer általános értékelését;</w:t>
      </w:r>
    </w:p>
    <w:p w:rsidR="001B1717" w:rsidRPr="00DD3B44" w:rsidRDefault="001B1717" w:rsidP="00DD3B44">
      <w:pPr>
        <w:numPr>
          <w:ilvl w:val="0"/>
          <w:numId w:val="8"/>
        </w:numPr>
        <w:spacing w:line="276" w:lineRule="auto"/>
        <w:jc w:val="both"/>
      </w:pPr>
      <w:r w:rsidRPr="00DD3B44">
        <w:t>a kockázati tényezőket és értékelésüket;</w:t>
      </w:r>
    </w:p>
    <w:p w:rsidR="001B1717" w:rsidRPr="00DD3B44" w:rsidRDefault="001B1717" w:rsidP="00DD3B44">
      <w:pPr>
        <w:numPr>
          <w:ilvl w:val="0"/>
          <w:numId w:val="8"/>
        </w:numPr>
        <w:spacing w:line="276" w:lineRule="auto"/>
        <w:jc w:val="both"/>
      </w:pPr>
      <w:r w:rsidRPr="00DD3B44">
        <w:t>a belső ellenőrzésre vonatkozó fejlesztési és képzési tervet;</w:t>
      </w:r>
    </w:p>
    <w:p w:rsidR="001B1717" w:rsidRPr="00DD3B44" w:rsidRDefault="001B1717" w:rsidP="00DD3B44">
      <w:pPr>
        <w:numPr>
          <w:ilvl w:val="0"/>
          <w:numId w:val="8"/>
        </w:numPr>
        <w:spacing w:line="276" w:lineRule="auto"/>
        <w:jc w:val="both"/>
      </w:pPr>
      <w:r w:rsidRPr="00DD3B44">
        <w:t>a szükséges erőforrások felmérését elsősorban a létszám, képzettség, tárgyi feltételek tekintetében;</w:t>
      </w:r>
    </w:p>
    <w:p w:rsidR="001B1717" w:rsidRPr="00DD3B44" w:rsidRDefault="001B1717" w:rsidP="00DD3B44">
      <w:pPr>
        <w:numPr>
          <w:ilvl w:val="0"/>
          <w:numId w:val="8"/>
        </w:numPr>
        <w:spacing w:line="276" w:lineRule="auto"/>
        <w:jc w:val="both"/>
      </w:pPr>
      <w:r w:rsidRPr="00DD3B44">
        <w:t>a fentiek alapján meghatározott ellenőrzési prioritásokat és az ellenőrzési gyakoriságot.</w:t>
      </w:r>
    </w:p>
    <w:p w:rsidR="00DD3B44" w:rsidRDefault="00DD3B44" w:rsidP="00DD3B44">
      <w:pPr>
        <w:jc w:val="both"/>
        <w:rPr>
          <w:bCs/>
        </w:rPr>
      </w:pPr>
    </w:p>
    <w:p w:rsidR="00DD3B44" w:rsidRDefault="006C4F9D" w:rsidP="00DD3B44">
      <w:pPr>
        <w:jc w:val="both"/>
      </w:pPr>
      <w:r w:rsidRPr="00DD3B44">
        <w:rPr>
          <w:bCs/>
        </w:rPr>
        <w:t>Az ellenőrzési munka sajátos területeire vonatkozó stratégiai célok, és az azt biztosító legfontosabb feladatok az alábbiak:</w:t>
      </w:r>
      <w:r w:rsidR="00DD3B44" w:rsidRPr="00DD3B44">
        <w:t xml:space="preserve"> </w:t>
      </w:r>
    </w:p>
    <w:p w:rsidR="006C4F9D" w:rsidRPr="00C47E81" w:rsidRDefault="00DD3B44" w:rsidP="00DD3B44">
      <w:pPr>
        <w:numPr>
          <w:ilvl w:val="0"/>
          <w:numId w:val="9"/>
        </w:numPr>
        <w:jc w:val="both"/>
        <w:rPr>
          <w:bCs/>
        </w:rPr>
      </w:pPr>
      <w:r w:rsidRPr="00C47E81">
        <w:t xml:space="preserve">Az önkormányzat és a hivatal belső ellenőrzésének stratégiai célja, hogy hozzájáruljon a hivatalok részére előírt feladat ellátás hatékonyságának növeléséhez. </w:t>
      </w:r>
    </w:p>
    <w:p w:rsidR="006C4F9D" w:rsidRPr="00C47E81" w:rsidRDefault="006C4F9D" w:rsidP="00DD3B44">
      <w:pPr>
        <w:numPr>
          <w:ilvl w:val="0"/>
          <w:numId w:val="9"/>
        </w:numPr>
        <w:jc w:val="both"/>
      </w:pPr>
      <w:r w:rsidRPr="00C47E81">
        <w:t xml:space="preserve">Az </w:t>
      </w:r>
      <w:r w:rsidR="00BD70A3" w:rsidRPr="00C47E81">
        <w:t>költségvetési szervek</w:t>
      </w:r>
      <w:r w:rsidRPr="00C47E81">
        <w:t xml:space="preserve"> tulajdonosi, fenntartói ellenőrzésének stratégiai célja, hogy elősegítse az intézményi gazdálkodás hatékonyságát, szabályszerűségét, az alaptevékenységként meghatározott feladat ellátás követelményeknek megfelelő teljesítése mellett. Megfelelő áttekintés biztosítása az </w:t>
      </w:r>
      <w:r w:rsidR="00BD70A3" w:rsidRPr="00C47E81">
        <w:t>költségvetési szervek</w:t>
      </w:r>
      <w:r w:rsidRPr="00C47E81">
        <w:t xml:space="preserve"> gazdálkodásának helyzetéről, színvonaláról.</w:t>
      </w:r>
    </w:p>
    <w:p w:rsidR="006C4F9D" w:rsidRPr="00DD3B44" w:rsidRDefault="006C4F9D" w:rsidP="00DD3B44">
      <w:pPr>
        <w:numPr>
          <w:ilvl w:val="0"/>
          <w:numId w:val="9"/>
        </w:numPr>
        <w:jc w:val="both"/>
      </w:pPr>
      <w:r w:rsidRPr="00C47E81">
        <w:t>A belső ellenőri munkával kapcsolatos stratégiai cél</w:t>
      </w:r>
      <w:r w:rsidR="00DD3B44" w:rsidRPr="00C47E81">
        <w:t xml:space="preserve">ja </w:t>
      </w:r>
      <w:r w:rsidRPr="00C47E81">
        <w:t>az ellenőrzések hatékonyságának, eredményességének emelése.</w:t>
      </w:r>
      <w:r w:rsidR="00DD3B44" w:rsidRPr="00C47E81">
        <w:t xml:space="preserve"> </w:t>
      </w:r>
      <w:r w:rsidRPr="00C47E81">
        <w:t>A vizsgálandó területek, témák kockázat elemzésen</w:t>
      </w:r>
      <w:r w:rsidRPr="00DD3B44">
        <w:t xml:space="preserve"> alapuló tervezése.</w:t>
      </w:r>
      <w:r w:rsidR="00DD3B44">
        <w:t xml:space="preserve"> </w:t>
      </w:r>
      <w:r w:rsidRPr="00DD3B44">
        <w:t>Az ellenőrzésre, a számvitelre valamint a gazdálkodásra vonatkozó jogszabályok, szakirodalom folyamatos figyelése.</w:t>
      </w:r>
      <w:r w:rsidR="00DD3B44">
        <w:t xml:space="preserve"> </w:t>
      </w:r>
      <w:r w:rsidRPr="00DD3B44">
        <w:t>Részvétel az ellenőrzéssel foglalkozó tanfolyamokon, konzultációkon.</w:t>
      </w:r>
      <w:r w:rsidR="00DD3B44">
        <w:t xml:space="preserve"> </w:t>
      </w:r>
      <w:r w:rsidRPr="00DD3B44">
        <w:t>A vizsgálatok hatékonyságát, eredményességét biztosító ellenőrzési módszerek alkalmazása. Technikai eszközök, különösen az informatika által nyújtott lehetőségek teljes körű kihasználása.</w:t>
      </w:r>
    </w:p>
    <w:p w:rsidR="006C4F9D" w:rsidRPr="00DD3B44" w:rsidRDefault="006C4F9D" w:rsidP="006C4F9D">
      <w:pPr>
        <w:ind w:left="270" w:firstLine="285"/>
        <w:jc w:val="both"/>
        <w:rPr>
          <w:i/>
          <w:iCs/>
        </w:rPr>
      </w:pPr>
    </w:p>
    <w:p w:rsidR="006419E1" w:rsidRPr="00DD3B44" w:rsidRDefault="006419E1" w:rsidP="006419E1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</w:rPr>
      </w:pPr>
      <w:r w:rsidRPr="00DD3B44">
        <w:rPr>
          <w:rFonts w:eastAsia="Times New Roman"/>
        </w:rPr>
        <w:t>Az önkormányzat m</w:t>
      </w:r>
      <w:r w:rsidRPr="00DD3B44">
        <w:rPr>
          <w:rFonts w:eastAsia="TimesNewRoman"/>
        </w:rPr>
        <w:t>ű</w:t>
      </w:r>
      <w:r w:rsidRPr="00DD3B44">
        <w:rPr>
          <w:rFonts w:eastAsia="Times New Roman"/>
        </w:rPr>
        <w:t>ködési feltételeinek javítása, hatékonyságának növelése érdekében hosszú távon a rendszerszemléltet</w:t>
      </w:r>
      <w:r w:rsidRPr="00DD3B44">
        <w:rPr>
          <w:rFonts w:eastAsia="TimesNewRoman"/>
        </w:rPr>
        <w:t xml:space="preserve">ő </w:t>
      </w:r>
      <w:r w:rsidRPr="00DD3B44">
        <w:rPr>
          <w:rFonts w:eastAsia="Times New Roman"/>
        </w:rPr>
        <w:t>ellenőrzésekre kell hangsúlyt helyezni.</w:t>
      </w:r>
    </w:p>
    <w:p w:rsidR="006419E1" w:rsidRPr="00DD3B44" w:rsidRDefault="006419E1" w:rsidP="006419E1">
      <w:pPr>
        <w:widowControl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  <w:rPr>
          <w:rFonts w:eastAsia="Times New Roman"/>
        </w:rPr>
      </w:pPr>
      <w:r w:rsidRPr="00DD3B44">
        <w:rPr>
          <w:rFonts w:eastAsia="Times New Roman"/>
        </w:rPr>
        <w:t>A belső</w:t>
      </w:r>
      <w:r w:rsidRPr="00DD3B44">
        <w:rPr>
          <w:rFonts w:eastAsia="TimesNewRoman"/>
        </w:rPr>
        <w:t xml:space="preserve"> </w:t>
      </w:r>
      <w:r w:rsidRPr="00DD3B44">
        <w:rPr>
          <w:rFonts w:eastAsia="Times New Roman"/>
        </w:rPr>
        <w:t>ellenőrzésnek alapvetően az önkormányzat vezetésének közvetlen támogatói szerepét kell biztosítania.</w:t>
      </w:r>
    </w:p>
    <w:p w:rsidR="006419E1" w:rsidRPr="00DD3B44" w:rsidRDefault="006419E1" w:rsidP="006419E1">
      <w:pPr>
        <w:widowControl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  <w:rPr>
          <w:rFonts w:eastAsia="Times New Roman"/>
        </w:rPr>
      </w:pPr>
      <w:r w:rsidRPr="00DD3B44">
        <w:rPr>
          <w:rFonts w:eastAsia="Times New Roman"/>
        </w:rPr>
        <w:t>A szabályszerűségi, pénzügyi, rendszer– és teljesítmény típusú, valamint az informatikai rendszerek vizsgálatai alapján ajánlatokat és javaslatokat kell megfogalmaznia a hivatal vezetésének részére, a szervezet gazdaságos hatékony és eredményes működésének fejlesztésére, a feltárt kockázati tényezők, hiányosságok kiküszöbölése érdekében.</w:t>
      </w:r>
    </w:p>
    <w:p w:rsidR="006419E1" w:rsidRPr="00DD3B44" w:rsidRDefault="006419E1" w:rsidP="006419E1">
      <w:pPr>
        <w:widowControl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  <w:rPr>
          <w:rFonts w:eastAsia="Times New Roman"/>
        </w:rPr>
      </w:pPr>
      <w:r w:rsidRPr="00DD3B44">
        <w:rPr>
          <w:rFonts w:eastAsia="Times New Roman"/>
        </w:rPr>
        <w:t>A terv végrehajtásával kapcsolatos f</w:t>
      </w:r>
      <w:r w:rsidRPr="00DD3B44">
        <w:rPr>
          <w:rFonts w:eastAsia="TimesNewRoman"/>
        </w:rPr>
        <w:t>ő</w:t>
      </w:r>
      <w:r w:rsidRPr="00DD3B44">
        <w:rPr>
          <w:rFonts w:eastAsia="Times New Roman"/>
        </w:rPr>
        <w:t>bb feladatok:</w:t>
      </w:r>
    </w:p>
    <w:p w:rsidR="006419E1" w:rsidRPr="00DD3B44" w:rsidRDefault="006419E1" w:rsidP="00C2556F">
      <w:pPr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jc w:val="both"/>
        <w:rPr>
          <w:rFonts w:eastAsia="Times New Roman"/>
        </w:rPr>
      </w:pPr>
      <w:r w:rsidRPr="00DD3B44">
        <w:rPr>
          <w:rFonts w:eastAsia="Times New Roman"/>
        </w:rPr>
        <w:t>A belső</w:t>
      </w:r>
      <w:r w:rsidRPr="00DD3B44">
        <w:rPr>
          <w:rFonts w:eastAsia="TimesNewRoman"/>
        </w:rPr>
        <w:t xml:space="preserve"> </w:t>
      </w:r>
      <w:r w:rsidRPr="00DD3B44">
        <w:rPr>
          <w:rFonts w:eastAsia="Times New Roman"/>
        </w:rPr>
        <w:t>ellen</w:t>
      </w:r>
      <w:r w:rsidRPr="00DD3B44">
        <w:rPr>
          <w:rFonts w:eastAsia="TimesNewRoman"/>
        </w:rPr>
        <w:t>ő</w:t>
      </w:r>
      <w:r w:rsidRPr="00DD3B44">
        <w:rPr>
          <w:rFonts w:eastAsia="Times New Roman"/>
        </w:rPr>
        <w:t>rzésnek az ellen</w:t>
      </w:r>
      <w:r w:rsidRPr="00DD3B44">
        <w:rPr>
          <w:rFonts w:eastAsia="TimesNewRoman"/>
        </w:rPr>
        <w:t>ő</w:t>
      </w:r>
      <w:r w:rsidRPr="00DD3B44">
        <w:rPr>
          <w:rFonts w:eastAsia="Times New Roman"/>
        </w:rPr>
        <w:t>rzési célok megvalósítása érdekében négy év alatt a hivatalnál valamennyi típusú ellen</w:t>
      </w:r>
      <w:r w:rsidRPr="00DD3B44">
        <w:rPr>
          <w:rFonts w:eastAsia="TimesNewRoman"/>
        </w:rPr>
        <w:t>ő</w:t>
      </w:r>
      <w:r w:rsidRPr="00DD3B44">
        <w:rPr>
          <w:rFonts w:eastAsia="Times New Roman"/>
        </w:rPr>
        <w:t>rzés elvégzését biztosítani kell.</w:t>
      </w:r>
    </w:p>
    <w:p w:rsidR="00C2556F" w:rsidRPr="00DD3B44" w:rsidRDefault="006419E1" w:rsidP="00C2556F">
      <w:pPr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jc w:val="both"/>
        <w:rPr>
          <w:rFonts w:eastAsia="Times New Roman"/>
        </w:rPr>
      </w:pPr>
      <w:r w:rsidRPr="00DD3B44">
        <w:rPr>
          <w:rFonts w:eastAsia="Times New Roman"/>
        </w:rPr>
        <w:t>A tervid</w:t>
      </w:r>
      <w:r w:rsidRPr="00DD3B44">
        <w:rPr>
          <w:rFonts w:eastAsia="TimesNewRoman"/>
        </w:rPr>
        <w:t>ő</w:t>
      </w:r>
      <w:r w:rsidRPr="00DD3B44">
        <w:rPr>
          <w:rFonts w:eastAsia="Times New Roman"/>
        </w:rPr>
        <w:t>szak els</w:t>
      </w:r>
      <w:r w:rsidRPr="00DD3B44">
        <w:rPr>
          <w:rFonts w:eastAsia="TimesNewRoman"/>
        </w:rPr>
        <w:t xml:space="preserve">ő </w:t>
      </w:r>
      <w:r w:rsidRPr="00DD3B44">
        <w:rPr>
          <w:rFonts w:eastAsia="Times New Roman"/>
        </w:rPr>
        <w:t>kétharmadában f</w:t>
      </w:r>
      <w:r w:rsidRPr="00DD3B44">
        <w:rPr>
          <w:rFonts w:eastAsia="TimesNewRoman"/>
        </w:rPr>
        <w:t>ő</w:t>
      </w:r>
      <w:r w:rsidRPr="00DD3B44">
        <w:rPr>
          <w:rFonts w:eastAsia="Times New Roman"/>
        </w:rPr>
        <w:t>ként szabályszer</w:t>
      </w:r>
      <w:r w:rsidRPr="00DD3B44">
        <w:rPr>
          <w:rFonts w:eastAsia="TimesNewRoman"/>
        </w:rPr>
        <w:t>ű</w:t>
      </w:r>
      <w:r w:rsidRPr="00DD3B44">
        <w:rPr>
          <w:rFonts w:eastAsia="Times New Roman"/>
        </w:rPr>
        <w:t>ségi, pénzügyi ellen</w:t>
      </w:r>
      <w:r w:rsidRPr="00DD3B44">
        <w:rPr>
          <w:rFonts w:eastAsia="TimesNewRoman"/>
        </w:rPr>
        <w:t>ő</w:t>
      </w:r>
      <w:r w:rsidRPr="00DD3B44">
        <w:rPr>
          <w:rFonts w:eastAsia="Times New Roman"/>
        </w:rPr>
        <w:t>rzést és az</w:t>
      </w:r>
      <w:r w:rsidR="00C2556F" w:rsidRPr="00DD3B44">
        <w:rPr>
          <w:rFonts w:eastAsia="Times New Roman"/>
        </w:rPr>
        <w:t xml:space="preserve"> </w:t>
      </w:r>
      <w:r w:rsidRPr="00DD3B44">
        <w:rPr>
          <w:rFonts w:eastAsia="Times New Roman"/>
        </w:rPr>
        <w:t>informatikai rendszerek megbízhatóságának vizsgálatát kell el</w:t>
      </w:r>
      <w:r w:rsidRPr="00DD3B44">
        <w:rPr>
          <w:rFonts w:eastAsia="TimesNewRoman"/>
        </w:rPr>
        <w:t>ő</w:t>
      </w:r>
      <w:r w:rsidRPr="00DD3B44">
        <w:rPr>
          <w:rFonts w:eastAsia="Times New Roman"/>
        </w:rPr>
        <w:t xml:space="preserve">térbe helyezni. </w:t>
      </w:r>
    </w:p>
    <w:p w:rsidR="006419E1" w:rsidRPr="00DD3B44" w:rsidRDefault="006419E1" w:rsidP="00C2556F">
      <w:pPr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jc w:val="both"/>
        <w:rPr>
          <w:rFonts w:eastAsia="Times New Roman"/>
        </w:rPr>
      </w:pPr>
      <w:r w:rsidRPr="00DD3B44">
        <w:rPr>
          <w:rFonts w:eastAsia="Times New Roman"/>
        </w:rPr>
        <w:t>A ciklus</w:t>
      </w:r>
      <w:r w:rsidR="00C2556F" w:rsidRPr="00DD3B44">
        <w:rPr>
          <w:rFonts w:eastAsia="Times New Roman"/>
        </w:rPr>
        <w:t xml:space="preserve"> </w:t>
      </w:r>
      <w:r w:rsidRPr="00DD3B44">
        <w:rPr>
          <w:rFonts w:eastAsia="Times New Roman"/>
        </w:rPr>
        <w:t>elején átfogó rendszer–, illetve teljesítmény ellen</w:t>
      </w:r>
      <w:r w:rsidRPr="00DD3B44">
        <w:rPr>
          <w:rFonts w:eastAsia="TimesNewRoman"/>
        </w:rPr>
        <w:t>ő</w:t>
      </w:r>
      <w:r w:rsidRPr="00DD3B44">
        <w:rPr>
          <w:rFonts w:eastAsia="Times New Roman"/>
        </w:rPr>
        <w:t>rzést csak akkor tervez a bels</w:t>
      </w:r>
      <w:r w:rsidRPr="00DD3B44">
        <w:rPr>
          <w:rFonts w:eastAsia="TimesNewRoman"/>
        </w:rPr>
        <w:t xml:space="preserve">ő </w:t>
      </w:r>
      <w:r w:rsidRPr="00DD3B44">
        <w:rPr>
          <w:rFonts w:eastAsia="Times New Roman"/>
        </w:rPr>
        <w:t>ellen</w:t>
      </w:r>
      <w:r w:rsidRPr="00DD3B44">
        <w:rPr>
          <w:rFonts w:eastAsia="TimesNewRoman"/>
        </w:rPr>
        <w:t>ő</w:t>
      </w:r>
      <w:r w:rsidRPr="00DD3B44">
        <w:rPr>
          <w:rFonts w:eastAsia="Times New Roman"/>
        </w:rPr>
        <w:t>rzés végezni, ha azt a kapacitás megengedi, vagy egyéb ok miatt indokolttá válik.</w:t>
      </w:r>
    </w:p>
    <w:p w:rsidR="006419E1" w:rsidRPr="00DD3B44" w:rsidRDefault="006419E1" w:rsidP="00C2556F">
      <w:pPr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jc w:val="both"/>
        <w:rPr>
          <w:rFonts w:eastAsia="Times New Roman"/>
        </w:rPr>
      </w:pPr>
      <w:r w:rsidRPr="00DD3B44">
        <w:rPr>
          <w:rFonts w:eastAsia="Times New Roman"/>
        </w:rPr>
        <w:lastRenderedPageBreak/>
        <w:t>A bels</w:t>
      </w:r>
      <w:r w:rsidRPr="00DD3B44">
        <w:rPr>
          <w:rFonts w:eastAsia="TimesNewRoman"/>
        </w:rPr>
        <w:t xml:space="preserve">ő </w:t>
      </w:r>
      <w:r w:rsidRPr="00DD3B44">
        <w:rPr>
          <w:rFonts w:eastAsia="Times New Roman"/>
        </w:rPr>
        <w:t>ellen</w:t>
      </w:r>
      <w:r w:rsidRPr="00DD3B44">
        <w:rPr>
          <w:rFonts w:eastAsia="TimesNewRoman"/>
        </w:rPr>
        <w:t>ő</w:t>
      </w:r>
      <w:r w:rsidRPr="00DD3B44">
        <w:rPr>
          <w:rFonts w:eastAsia="Times New Roman"/>
        </w:rPr>
        <w:t xml:space="preserve">rzés </w:t>
      </w:r>
      <w:proofErr w:type="gramStart"/>
      <w:r w:rsidRPr="00DD3B44">
        <w:rPr>
          <w:rFonts w:eastAsia="Times New Roman"/>
        </w:rPr>
        <w:t>átfogó</w:t>
      </w:r>
      <w:proofErr w:type="gramEnd"/>
      <w:r w:rsidRPr="00DD3B44">
        <w:rPr>
          <w:rFonts w:eastAsia="Times New Roman"/>
        </w:rPr>
        <w:t xml:space="preserve"> rendszer- és teljesítmény ellen</w:t>
      </w:r>
      <w:r w:rsidRPr="00DD3B44">
        <w:rPr>
          <w:rFonts w:eastAsia="TimesNewRoman"/>
        </w:rPr>
        <w:t>ő</w:t>
      </w:r>
      <w:r w:rsidRPr="00DD3B44">
        <w:rPr>
          <w:rFonts w:eastAsia="Times New Roman"/>
        </w:rPr>
        <w:t>rzést a ciklus utolsó harmadában célszerű végezni, akkor, amikor a szabályozottság, a szabályszer</w:t>
      </w:r>
      <w:r w:rsidRPr="00DD3B44">
        <w:rPr>
          <w:rFonts w:eastAsia="TimesNewRoman"/>
        </w:rPr>
        <w:t>ű</w:t>
      </w:r>
      <w:r w:rsidRPr="00DD3B44">
        <w:rPr>
          <w:rFonts w:eastAsia="Times New Roman"/>
        </w:rPr>
        <w:t>ség eléri a kívánt szintet, s az önkormányzat a gazdálkodás vitelét meghatározó bels</w:t>
      </w:r>
      <w:r w:rsidRPr="00DD3B44">
        <w:rPr>
          <w:rFonts w:eastAsia="TimesNewRoman"/>
        </w:rPr>
        <w:t xml:space="preserve">ő </w:t>
      </w:r>
      <w:r w:rsidRPr="00DD3B44">
        <w:rPr>
          <w:rFonts w:eastAsia="Times New Roman"/>
        </w:rPr>
        <w:t>kontroll rendszer megfelel</w:t>
      </w:r>
      <w:r w:rsidRPr="00DD3B44">
        <w:rPr>
          <w:rFonts w:eastAsia="TimesNewRoman"/>
        </w:rPr>
        <w:t xml:space="preserve">ő </w:t>
      </w:r>
      <w:r w:rsidRPr="00DD3B44">
        <w:rPr>
          <w:rFonts w:eastAsia="Times New Roman"/>
        </w:rPr>
        <w:t>szinten m</w:t>
      </w:r>
      <w:r w:rsidRPr="00DD3B44">
        <w:rPr>
          <w:rFonts w:eastAsia="TimesNewRoman"/>
        </w:rPr>
        <w:t>ű</w:t>
      </w:r>
      <w:r w:rsidRPr="00DD3B44">
        <w:rPr>
          <w:rFonts w:eastAsia="Times New Roman"/>
        </w:rPr>
        <w:t>ködik.</w:t>
      </w:r>
    </w:p>
    <w:p w:rsidR="006419E1" w:rsidRPr="00DD3B44" w:rsidRDefault="006419E1" w:rsidP="00DD3B44">
      <w:pPr>
        <w:widowControl/>
        <w:suppressAutoHyphens w:val="0"/>
        <w:autoSpaceDE w:val="0"/>
        <w:autoSpaceDN w:val="0"/>
        <w:adjustRightInd w:val="0"/>
        <w:ind w:left="1440"/>
        <w:jc w:val="both"/>
        <w:rPr>
          <w:b/>
          <w:bCs/>
        </w:rPr>
      </w:pPr>
    </w:p>
    <w:p w:rsidR="00C2556F" w:rsidRPr="00DD3B44" w:rsidRDefault="00C2556F" w:rsidP="00F740B1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b/>
          <w:bCs/>
        </w:rPr>
      </w:pPr>
      <w:r w:rsidRPr="00DD3B44">
        <w:rPr>
          <w:rFonts w:eastAsia="Times New Roman"/>
          <w:b/>
          <w:bCs/>
        </w:rPr>
        <w:t>A belső kontrollrendszer értékelése</w:t>
      </w:r>
    </w:p>
    <w:p w:rsidR="00C2556F" w:rsidRPr="00DD3B44" w:rsidRDefault="00C2556F" w:rsidP="00F740B1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</w:rPr>
      </w:pPr>
      <w:r w:rsidRPr="00DD3B44">
        <w:rPr>
          <w:rFonts w:eastAsia="Times New Roman"/>
        </w:rPr>
        <w:t>Az államháztartási kontrollok alapvet</w:t>
      </w:r>
      <w:r w:rsidR="00F740B1" w:rsidRPr="00DD3B44">
        <w:rPr>
          <w:rFonts w:eastAsia="TimesNewRoman"/>
        </w:rPr>
        <w:t>ő</w:t>
      </w:r>
      <w:r w:rsidRPr="00DD3B44">
        <w:rPr>
          <w:rFonts w:eastAsia="TimesNewRoman"/>
        </w:rPr>
        <w:t xml:space="preserve"> </w:t>
      </w:r>
      <w:r w:rsidRPr="00DD3B44">
        <w:rPr>
          <w:rFonts w:eastAsia="Times New Roman"/>
        </w:rPr>
        <w:t>célja az államháztartási pénzeszközökkel, vagyonnal</w:t>
      </w:r>
      <w:r w:rsidR="00F740B1" w:rsidRPr="00DD3B44">
        <w:rPr>
          <w:rFonts w:eastAsia="Times New Roman"/>
        </w:rPr>
        <w:t xml:space="preserve"> </w:t>
      </w:r>
      <w:r w:rsidRPr="00DD3B44">
        <w:rPr>
          <w:rFonts w:eastAsia="Times New Roman"/>
        </w:rPr>
        <w:t>történ</w:t>
      </w:r>
      <w:r w:rsidR="00F740B1" w:rsidRPr="00DD3B44">
        <w:rPr>
          <w:rFonts w:eastAsia="TimesNewRoman"/>
        </w:rPr>
        <w:t>ő</w:t>
      </w:r>
      <w:r w:rsidRPr="00DD3B44">
        <w:rPr>
          <w:rFonts w:eastAsia="TimesNewRoman"/>
        </w:rPr>
        <w:t xml:space="preserve"> </w:t>
      </w:r>
      <w:r w:rsidRPr="00DD3B44">
        <w:rPr>
          <w:rFonts w:eastAsia="Times New Roman"/>
        </w:rPr>
        <w:t>szabályszer</w:t>
      </w:r>
      <w:r w:rsidR="00F740B1" w:rsidRPr="00DD3B44">
        <w:rPr>
          <w:rFonts w:eastAsia="TimesNewRoman"/>
        </w:rPr>
        <w:t>ű</w:t>
      </w:r>
      <w:r w:rsidRPr="00DD3B44">
        <w:rPr>
          <w:rFonts w:eastAsia="Times New Roman"/>
        </w:rPr>
        <w:t>, szabályozott, gazdaságos, hatékony és eredményes gazdálkodás. Az</w:t>
      </w:r>
      <w:r w:rsidR="00F740B1" w:rsidRPr="00DD3B44">
        <w:rPr>
          <w:rFonts w:eastAsia="Times New Roman"/>
        </w:rPr>
        <w:t xml:space="preserve"> </w:t>
      </w:r>
      <w:r w:rsidRPr="00DD3B44">
        <w:rPr>
          <w:rFonts w:eastAsia="Times New Roman"/>
        </w:rPr>
        <w:t>államháztartás kontrollja - mely kiterjed az államháztartás valamennyi alrendszerére, így az</w:t>
      </w:r>
      <w:r w:rsidR="00F740B1" w:rsidRPr="00DD3B44">
        <w:rPr>
          <w:rFonts w:eastAsia="Times New Roman"/>
        </w:rPr>
        <w:t xml:space="preserve"> </w:t>
      </w:r>
      <w:r w:rsidRPr="00DD3B44">
        <w:rPr>
          <w:rFonts w:eastAsia="Times New Roman"/>
        </w:rPr>
        <w:t>önkormányzati alrendszere is - küls</w:t>
      </w:r>
      <w:r w:rsidR="00F740B1" w:rsidRPr="00DD3B44">
        <w:rPr>
          <w:rFonts w:eastAsia="TimesNewRoman"/>
        </w:rPr>
        <w:t>ő</w:t>
      </w:r>
      <w:r w:rsidRPr="00DD3B44">
        <w:rPr>
          <w:rFonts w:eastAsia="TimesNewRoman"/>
        </w:rPr>
        <w:t xml:space="preserve"> </w:t>
      </w:r>
      <w:r w:rsidRPr="00DD3B44">
        <w:rPr>
          <w:rFonts w:eastAsia="Times New Roman"/>
        </w:rPr>
        <w:t>ellen</w:t>
      </w:r>
      <w:r w:rsidR="00F740B1" w:rsidRPr="00DD3B44">
        <w:rPr>
          <w:rFonts w:eastAsia="TimesNewRoman"/>
        </w:rPr>
        <w:t>ő</w:t>
      </w:r>
      <w:r w:rsidRPr="00DD3B44">
        <w:rPr>
          <w:rFonts w:eastAsia="Times New Roman"/>
        </w:rPr>
        <w:t>rzés és államháztartási bels</w:t>
      </w:r>
      <w:r w:rsidR="00F740B1" w:rsidRPr="00DD3B44">
        <w:rPr>
          <w:rFonts w:eastAsia="TimesNewRoman"/>
        </w:rPr>
        <w:t>ő</w:t>
      </w:r>
      <w:r w:rsidRPr="00DD3B44">
        <w:rPr>
          <w:rFonts w:eastAsia="TimesNewRoman"/>
        </w:rPr>
        <w:t xml:space="preserve"> </w:t>
      </w:r>
      <w:r w:rsidRPr="00DD3B44">
        <w:rPr>
          <w:rFonts w:eastAsia="Times New Roman"/>
        </w:rPr>
        <w:t>kontrollrendszerek</w:t>
      </w:r>
      <w:r w:rsidR="00F740B1" w:rsidRPr="00DD3B44">
        <w:rPr>
          <w:rFonts w:eastAsia="Times New Roman"/>
        </w:rPr>
        <w:t xml:space="preserve"> </w:t>
      </w:r>
      <w:r w:rsidRPr="00DD3B44">
        <w:rPr>
          <w:rFonts w:eastAsia="Times New Roman"/>
        </w:rPr>
        <w:t>keretében történik.</w:t>
      </w:r>
    </w:p>
    <w:p w:rsidR="00C2556F" w:rsidRPr="00DD3B44" w:rsidRDefault="00C2556F" w:rsidP="00F740B1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</w:rPr>
      </w:pPr>
      <w:r w:rsidRPr="00DD3B44">
        <w:rPr>
          <w:rFonts w:eastAsia="Times New Roman"/>
        </w:rPr>
        <w:t>A bels</w:t>
      </w:r>
      <w:r w:rsidR="00F740B1" w:rsidRPr="00DD3B44">
        <w:rPr>
          <w:rFonts w:eastAsia="TimesNewRoman"/>
        </w:rPr>
        <w:t>ő</w:t>
      </w:r>
      <w:r w:rsidRPr="00DD3B44">
        <w:rPr>
          <w:rFonts w:eastAsia="TimesNewRoman"/>
        </w:rPr>
        <w:t xml:space="preserve"> </w:t>
      </w:r>
      <w:r w:rsidRPr="00DD3B44">
        <w:rPr>
          <w:rFonts w:eastAsia="Times New Roman"/>
        </w:rPr>
        <w:t>kontrollrendszer a költségvetési szerv által a kockázatok kezelésére és tárgyilagos</w:t>
      </w:r>
      <w:r w:rsidR="00F740B1" w:rsidRPr="00DD3B44">
        <w:rPr>
          <w:rFonts w:eastAsia="Times New Roman"/>
        </w:rPr>
        <w:t xml:space="preserve"> </w:t>
      </w:r>
      <w:r w:rsidRPr="00DD3B44">
        <w:rPr>
          <w:rFonts w:eastAsia="Times New Roman"/>
        </w:rPr>
        <w:t>bizonyosság megszerzése érdekében kialakított folyamatrendszer, amely azt a célt szolgálja,</w:t>
      </w:r>
      <w:r w:rsidR="00F740B1" w:rsidRPr="00DD3B44">
        <w:rPr>
          <w:rFonts w:eastAsia="Times New Roman"/>
        </w:rPr>
        <w:t xml:space="preserve"> </w:t>
      </w:r>
      <w:r w:rsidRPr="00DD3B44">
        <w:rPr>
          <w:rFonts w:eastAsia="Times New Roman"/>
        </w:rPr>
        <w:t>hogy a költségvetési szerv megvalósítsa a következ</w:t>
      </w:r>
      <w:r w:rsidR="00F740B1" w:rsidRPr="00DD3B44">
        <w:rPr>
          <w:rFonts w:eastAsia="TimesNewRoman"/>
        </w:rPr>
        <w:t>ő</w:t>
      </w:r>
      <w:r w:rsidRPr="00DD3B44">
        <w:rPr>
          <w:rFonts w:eastAsia="TimesNewRoman"/>
        </w:rPr>
        <w:t xml:space="preserve"> </w:t>
      </w:r>
      <w:r w:rsidRPr="00DD3B44">
        <w:rPr>
          <w:rFonts w:eastAsia="Times New Roman"/>
        </w:rPr>
        <w:t>f</w:t>
      </w:r>
      <w:r w:rsidR="00F740B1" w:rsidRPr="00DD3B44">
        <w:rPr>
          <w:rFonts w:eastAsia="TimesNewRoman"/>
        </w:rPr>
        <w:t>ő</w:t>
      </w:r>
      <w:r w:rsidRPr="00DD3B44">
        <w:rPr>
          <w:rFonts w:eastAsia="TimesNewRoman"/>
        </w:rPr>
        <w:t xml:space="preserve"> </w:t>
      </w:r>
      <w:r w:rsidRPr="00DD3B44">
        <w:rPr>
          <w:rFonts w:eastAsia="Times New Roman"/>
        </w:rPr>
        <w:t>célokat:</w:t>
      </w:r>
    </w:p>
    <w:p w:rsidR="00C2556F" w:rsidRPr="00DD3B44" w:rsidRDefault="00C2556F" w:rsidP="00F740B1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</w:rPr>
      </w:pPr>
      <w:r w:rsidRPr="00DD3B44">
        <w:rPr>
          <w:rFonts w:eastAsia="Times New Roman"/>
        </w:rPr>
        <w:t>- a tevékenységeket (m</w:t>
      </w:r>
      <w:r w:rsidR="00F740B1" w:rsidRPr="00DD3B44">
        <w:rPr>
          <w:rFonts w:eastAsia="TimesNewRoman"/>
        </w:rPr>
        <w:t>ű</w:t>
      </w:r>
      <w:r w:rsidRPr="00DD3B44">
        <w:rPr>
          <w:rFonts w:eastAsia="Times New Roman"/>
        </w:rPr>
        <w:t>veleteket) szabályszer</w:t>
      </w:r>
      <w:r w:rsidR="00F740B1" w:rsidRPr="00DD3B44">
        <w:rPr>
          <w:rFonts w:eastAsia="TimesNewRoman"/>
        </w:rPr>
        <w:t>ű</w:t>
      </w:r>
      <w:r w:rsidRPr="00DD3B44">
        <w:rPr>
          <w:rFonts w:eastAsia="Times New Roman"/>
        </w:rPr>
        <w:t>en, valamint a megbízható gazdálkodás</w:t>
      </w:r>
      <w:r w:rsidR="00F740B1" w:rsidRPr="00DD3B44">
        <w:rPr>
          <w:rFonts w:eastAsia="Times New Roman"/>
        </w:rPr>
        <w:t xml:space="preserve"> </w:t>
      </w:r>
      <w:r w:rsidRPr="00DD3B44">
        <w:rPr>
          <w:rFonts w:eastAsia="Times New Roman"/>
        </w:rPr>
        <w:t>elveivel (gazdaságosság, hatékonyság és eredményesség) összhangban hajtsa végre;</w:t>
      </w:r>
    </w:p>
    <w:p w:rsidR="00C2556F" w:rsidRPr="00DD3B44" w:rsidRDefault="00C2556F" w:rsidP="00F740B1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</w:rPr>
      </w:pPr>
      <w:r w:rsidRPr="00DD3B44">
        <w:rPr>
          <w:rFonts w:eastAsia="Times New Roman"/>
        </w:rPr>
        <w:t>- teljesítse az elszámolási kötelezettségeket;</w:t>
      </w:r>
    </w:p>
    <w:p w:rsidR="00C2556F" w:rsidRPr="00DD3B44" w:rsidRDefault="00C2556F" w:rsidP="00F740B1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</w:rPr>
      </w:pPr>
      <w:r w:rsidRPr="00DD3B44">
        <w:rPr>
          <w:rFonts w:eastAsia="Times New Roman"/>
        </w:rPr>
        <w:t>- megvédje a szervezet er</w:t>
      </w:r>
      <w:r w:rsidR="00F740B1" w:rsidRPr="00DD3B44">
        <w:rPr>
          <w:rFonts w:eastAsia="TimesNewRoman"/>
        </w:rPr>
        <w:t>ő</w:t>
      </w:r>
      <w:r w:rsidRPr="00DD3B44">
        <w:rPr>
          <w:rFonts w:eastAsia="Times New Roman"/>
        </w:rPr>
        <w:t>forrásait a veszteségekt</w:t>
      </w:r>
      <w:r w:rsidR="00F740B1" w:rsidRPr="00DD3B44">
        <w:rPr>
          <w:rFonts w:eastAsia="TimesNewRoman"/>
        </w:rPr>
        <w:t>ő</w:t>
      </w:r>
      <w:r w:rsidRPr="00DD3B44">
        <w:rPr>
          <w:rFonts w:eastAsia="Times New Roman"/>
        </w:rPr>
        <w:t>l (károktól) és a nem rendeltetésszer</w:t>
      </w:r>
      <w:r w:rsidR="00F740B1" w:rsidRPr="00DD3B44">
        <w:rPr>
          <w:rFonts w:eastAsia="TimesNewRoman"/>
        </w:rPr>
        <w:t xml:space="preserve">ű </w:t>
      </w:r>
      <w:r w:rsidRPr="00DD3B44">
        <w:rPr>
          <w:rFonts w:eastAsia="Times New Roman"/>
        </w:rPr>
        <w:t>használattól.</w:t>
      </w:r>
      <w:r w:rsidR="00F740B1" w:rsidRPr="00DD3B44">
        <w:rPr>
          <w:rFonts w:eastAsia="Times New Roman"/>
        </w:rPr>
        <w:t xml:space="preserve"> A belső kontrollrendszert a szervezet a Belső Kontroll Kéziköny</w:t>
      </w:r>
      <w:r w:rsidR="00472AF2">
        <w:rPr>
          <w:rFonts w:eastAsia="Times New Roman"/>
        </w:rPr>
        <w:t>v</w:t>
      </w:r>
      <w:r w:rsidR="00F740B1" w:rsidRPr="00DD3B44">
        <w:rPr>
          <w:rFonts w:eastAsia="Times New Roman"/>
        </w:rPr>
        <w:t>ben</w:t>
      </w:r>
      <w:r w:rsidR="004313C5">
        <w:rPr>
          <w:rFonts w:eastAsia="Times New Roman"/>
        </w:rPr>
        <w:t xml:space="preserve">, </w:t>
      </w:r>
      <w:r w:rsidR="00472AF2">
        <w:rPr>
          <w:rFonts w:eastAsia="Times New Roman"/>
        </w:rPr>
        <w:t>a Belső Kontroll Kézikönyvben, valamint a</w:t>
      </w:r>
      <w:r w:rsidR="004313C5">
        <w:rPr>
          <w:rFonts w:eastAsia="Times New Roman"/>
        </w:rPr>
        <w:t>z Integrál</w:t>
      </w:r>
      <w:r w:rsidR="00472AF2">
        <w:rPr>
          <w:rFonts w:eastAsia="Times New Roman"/>
        </w:rPr>
        <w:t>t</w:t>
      </w:r>
      <w:r w:rsidR="004313C5">
        <w:rPr>
          <w:rFonts w:eastAsia="Times New Roman"/>
        </w:rPr>
        <w:t xml:space="preserve"> Kockázatkezelés eljárásrendjéről szóló Szabályzatban</w:t>
      </w:r>
      <w:r w:rsidR="00F740B1" w:rsidRPr="00DD3B44">
        <w:rPr>
          <w:rFonts w:eastAsia="Times New Roman"/>
        </w:rPr>
        <w:t xml:space="preserve"> foglaltak alapján működteti.</w:t>
      </w:r>
    </w:p>
    <w:p w:rsidR="00F740B1" w:rsidRPr="00DD3B44" w:rsidRDefault="00F740B1" w:rsidP="00C2556F">
      <w:pPr>
        <w:widowControl/>
        <w:suppressAutoHyphens w:val="0"/>
        <w:autoSpaceDE w:val="0"/>
        <w:autoSpaceDN w:val="0"/>
        <w:adjustRightInd w:val="0"/>
        <w:rPr>
          <w:rFonts w:eastAsia="Times New Roman"/>
          <w:b/>
          <w:bCs/>
        </w:rPr>
      </w:pPr>
    </w:p>
    <w:p w:rsidR="00C2556F" w:rsidRPr="00DD3B44" w:rsidRDefault="00C2556F" w:rsidP="00A73C27">
      <w:pPr>
        <w:rPr>
          <w:b/>
        </w:rPr>
      </w:pPr>
      <w:r w:rsidRPr="00DD3B44">
        <w:rPr>
          <w:b/>
        </w:rPr>
        <w:t>Kockázati tényez</w:t>
      </w:r>
      <w:r w:rsidR="00A73C27" w:rsidRPr="00DD3B44">
        <w:rPr>
          <w:b/>
        </w:rPr>
        <w:t>ők</w:t>
      </w:r>
      <w:r w:rsidRPr="00DD3B44">
        <w:rPr>
          <w:b/>
        </w:rPr>
        <w:t xml:space="preserve"> és értékelésük</w:t>
      </w:r>
    </w:p>
    <w:p w:rsidR="00C2556F" w:rsidRPr="00DD3B44" w:rsidRDefault="00C2556F" w:rsidP="00A73C27">
      <w:pPr>
        <w:jc w:val="both"/>
      </w:pPr>
      <w:r w:rsidRPr="00DD3B44">
        <w:t>Egy terület tényleges vagy potenciális kockázatának értékeléséhez véleményt kell alkotni az</w:t>
      </w:r>
      <w:r w:rsidR="00A73C27" w:rsidRPr="00DD3B44">
        <w:t xml:space="preserve"> a</w:t>
      </w:r>
      <w:r w:rsidRPr="00DD3B44">
        <w:t>dott terület kulcsfontosságú tényez</w:t>
      </w:r>
      <w:r w:rsidR="00A73C27" w:rsidRPr="00DD3B44">
        <w:rPr>
          <w:rFonts w:eastAsia="TimesNewRoman"/>
        </w:rPr>
        <w:t>ő</w:t>
      </w:r>
      <w:r w:rsidRPr="00DD3B44">
        <w:t>inek meghatározása és mérlegelése alapján, amelyek az</w:t>
      </w:r>
    </w:p>
    <w:p w:rsidR="006419E1" w:rsidRDefault="00C2556F" w:rsidP="00A73C27">
      <w:pPr>
        <w:jc w:val="both"/>
      </w:pPr>
      <w:proofErr w:type="gramStart"/>
      <w:r w:rsidRPr="00DD3B44">
        <w:t>elvégzett</w:t>
      </w:r>
      <w:proofErr w:type="gramEnd"/>
      <w:r w:rsidRPr="00DD3B44">
        <w:t xml:space="preserve"> tevékenységekkel, a létez</w:t>
      </w:r>
      <w:r w:rsidR="00A73C27" w:rsidRPr="00DD3B44">
        <w:rPr>
          <w:rFonts w:eastAsia="TimesNewRoman"/>
        </w:rPr>
        <w:t>ő</w:t>
      </w:r>
      <w:r w:rsidRPr="00DD3B44">
        <w:rPr>
          <w:rFonts w:eastAsia="TimesNewRoman"/>
        </w:rPr>
        <w:t xml:space="preserve"> </w:t>
      </w:r>
      <w:r w:rsidRPr="00DD3B44">
        <w:t>kontrollrendszerekkel, múltbéli és valószín</w:t>
      </w:r>
      <w:r w:rsidR="00A73C27" w:rsidRPr="00DD3B44">
        <w:rPr>
          <w:rFonts w:eastAsia="TimesNewRoman"/>
        </w:rPr>
        <w:t>ű</w:t>
      </w:r>
      <w:r w:rsidRPr="00DD3B44">
        <w:t>síthet</w:t>
      </w:r>
      <w:r w:rsidR="00A73C27" w:rsidRPr="00DD3B44">
        <w:rPr>
          <w:rFonts w:eastAsia="TimesNewRoman"/>
        </w:rPr>
        <w:t xml:space="preserve">ő </w:t>
      </w:r>
      <w:r w:rsidRPr="00DD3B44">
        <w:t>jöv</w:t>
      </w:r>
      <w:r w:rsidR="00A73C27" w:rsidRPr="00DD3B44">
        <w:rPr>
          <w:rFonts w:eastAsia="TimesNewRoman"/>
        </w:rPr>
        <w:t>ő</w:t>
      </w:r>
      <w:r w:rsidRPr="00DD3B44">
        <w:t>beli eseményekkel, a m</w:t>
      </w:r>
      <w:r w:rsidR="00A73C27" w:rsidRPr="00DD3B44">
        <w:rPr>
          <w:rFonts w:eastAsia="TimesNewRoman"/>
        </w:rPr>
        <w:t>ű</w:t>
      </w:r>
      <w:r w:rsidRPr="00DD3B44">
        <w:t>ködési környezettel kapcsolatosak.</w:t>
      </w:r>
      <w:r w:rsidR="00A73C27" w:rsidRPr="00DD3B44">
        <w:t xml:space="preserve"> </w:t>
      </w:r>
      <w:r w:rsidRPr="00DD3B44">
        <w:t>Az egyes rendszerek (folyamatok) kockázatelemzését a kockázati tényez</w:t>
      </w:r>
      <w:r w:rsidR="00A73C27" w:rsidRPr="00DD3B44">
        <w:rPr>
          <w:rFonts w:eastAsia="TimesNewRoman"/>
        </w:rPr>
        <w:t>ő</w:t>
      </w:r>
      <w:r w:rsidRPr="00DD3B44">
        <w:t>k, és azok súlya</w:t>
      </w:r>
      <w:r w:rsidR="00A73C27" w:rsidRPr="00DD3B44">
        <w:t xml:space="preserve"> </w:t>
      </w:r>
      <w:r w:rsidRPr="00DD3B44">
        <w:t xml:space="preserve">alapján kell elvégezni. </w:t>
      </w:r>
    </w:p>
    <w:p w:rsidR="00DD3B44" w:rsidRDefault="00DD3B44" w:rsidP="00A73C27">
      <w:pPr>
        <w:jc w:val="both"/>
      </w:pPr>
    </w:p>
    <w:p w:rsidR="00DD3B44" w:rsidRDefault="00DD3B44" w:rsidP="00A73C27">
      <w:pPr>
        <w:jc w:val="both"/>
        <w:rPr>
          <w:b/>
        </w:rPr>
      </w:pPr>
      <w:r w:rsidRPr="00DD3B44">
        <w:rPr>
          <w:b/>
        </w:rPr>
        <w:t>Belső ellenőrzésre vonatkozó képzési és fejlesztési terv</w:t>
      </w:r>
    </w:p>
    <w:p w:rsidR="009B1FD2" w:rsidRDefault="009B1FD2" w:rsidP="00981996">
      <w:pPr>
        <w:suppressAutoHyphens w:val="0"/>
        <w:spacing w:before="100" w:beforeAutospacing="1" w:after="100" w:afterAutospacing="1"/>
        <w:jc w:val="both"/>
      </w:pPr>
      <w:r>
        <w:t xml:space="preserve">A </w:t>
      </w:r>
      <w:r w:rsidRPr="00C35A88">
        <w:t>2011. évi CXCV. törvény</w:t>
      </w:r>
      <w:r>
        <w:t xml:space="preserve"> </w:t>
      </w:r>
      <w:r w:rsidRPr="00C35A88">
        <w:t>az államháztartásról 70. §</w:t>
      </w:r>
      <w:r>
        <w:t xml:space="preserve"> </w:t>
      </w:r>
      <w:r w:rsidRPr="00C35A88">
        <w:t xml:space="preserve">(4) A költségvetési szervnél belső ellenőrzési tevékenységet csak az államháztartásért felelős miniszter </w:t>
      </w:r>
      <w:r w:rsidRPr="00CE57BE">
        <w:t xml:space="preserve">engedélyével </w:t>
      </w:r>
      <w:r w:rsidRPr="00981996">
        <w:t>rendelkező személy végezhet</w:t>
      </w:r>
      <w:r w:rsidRPr="00C35A88">
        <w:t>. E tevékenységek folytatását az államháztartásért felelős miniszter annak engedélyezi, aki cselekvőképes, büntetlen előéletű, és nem áll a belső ellenőrzés körébe tartozó tevékenység vonatkozásában a foglalkozástól eltiltás hatálya alatt, továbbá rendelkezik a jogszabályban előírt végzettséggel és gyakorlattal.</w:t>
      </w:r>
    </w:p>
    <w:p w:rsidR="00981996" w:rsidRPr="00985F73" w:rsidRDefault="00981996" w:rsidP="00981996">
      <w:pPr>
        <w:jc w:val="both"/>
      </w:pPr>
      <w:r>
        <w:t xml:space="preserve">A </w:t>
      </w:r>
      <w:r w:rsidRPr="00985F73">
        <w:t>370/2011. (XII. 31.) Korm. rendelet</w:t>
      </w:r>
      <w:r>
        <w:t xml:space="preserve"> - </w:t>
      </w:r>
      <w:r w:rsidRPr="00985F73">
        <w:t xml:space="preserve">a költségvetési szervek </w:t>
      </w:r>
      <w:bookmarkStart w:id="1" w:name="xcel"/>
      <w:r w:rsidRPr="00985F73">
        <w:t>belső kontroll</w:t>
      </w:r>
      <w:bookmarkEnd w:id="1"/>
      <w:r w:rsidRPr="00985F73">
        <w:t xml:space="preserve">rendszeréről és belső </w:t>
      </w:r>
      <w:proofErr w:type="gramStart"/>
      <w:r w:rsidRPr="00985F73">
        <w:t>ellenőrzéséről</w:t>
      </w:r>
      <w:r>
        <w:t xml:space="preserve">  24</w:t>
      </w:r>
      <w:proofErr w:type="gramEnd"/>
      <w:r>
        <w:t xml:space="preserve">.§ </w:t>
      </w:r>
      <w:r w:rsidRPr="00985F73">
        <w:t xml:space="preserve">(7) </w:t>
      </w:r>
      <w:r>
        <w:t>bekezdésében foglaltaknak megfelelően a</w:t>
      </w:r>
      <w:r w:rsidRPr="00985F73">
        <w:t xml:space="preserve"> belső ellenőrök kötelesek a már megszerzett ismereteiket naprakészen tartani, fejleszteni, a változásokból eredő követelményekkel összhangba hozni. Ennek érdekében kétévente kötelesek szakmai továbbképzésen részt venni, és külön jogszabályban előírt esetekben vizsgát tenni.</w:t>
      </w:r>
    </w:p>
    <w:p w:rsidR="00981996" w:rsidRDefault="001A57B6" w:rsidP="00BD70A3">
      <w:pPr>
        <w:suppressAutoHyphens w:val="0"/>
        <w:spacing w:before="100" w:beforeAutospacing="1" w:after="100" w:afterAutospacing="1"/>
        <w:jc w:val="both"/>
        <w:rPr>
          <w:b/>
        </w:rPr>
      </w:pPr>
      <w:r w:rsidRPr="001A57B6">
        <w:rPr>
          <w:b/>
        </w:rPr>
        <w:t xml:space="preserve">A szükséges erőforrások felmérését elsősorban a létszám, képzettség, tárgyi </w:t>
      </w:r>
      <w:proofErr w:type="gramStart"/>
      <w:r w:rsidRPr="001A57B6">
        <w:rPr>
          <w:b/>
        </w:rPr>
        <w:t>feltételek  tekintetében</w:t>
      </w:r>
      <w:proofErr w:type="gramEnd"/>
    </w:p>
    <w:p w:rsidR="001A57B6" w:rsidRDefault="001A57B6" w:rsidP="00BD70A3">
      <w:pPr>
        <w:suppressAutoHyphens w:val="0"/>
        <w:spacing w:before="100" w:beforeAutospacing="1" w:after="100" w:afterAutospacing="1"/>
        <w:jc w:val="both"/>
      </w:pPr>
      <w:r>
        <w:t xml:space="preserve">Az önkormányzatnál a belső ellenőrzést a </w:t>
      </w:r>
      <w:r w:rsidR="007F0A29" w:rsidRPr="00985F73">
        <w:t>370/2011. (XII. 31.) Korm. rendelet</w:t>
      </w:r>
      <w:r w:rsidR="007F0A29">
        <w:t xml:space="preserve"> </w:t>
      </w:r>
      <w:r>
        <w:t xml:space="preserve">15.§ (7) b. </w:t>
      </w:r>
      <w:proofErr w:type="gramStart"/>
      <w:r>
        <w:t>bekezdésében</w:t>
      </w:r>
      <w:proofErr w:type="gramEnd"/>
      <w:r>
        <w:t xml:space="preserve"> foglaltak szerint </w:t>
      </w:r>
      <w:r w:rsidRPr="00985F73">
        <w:t>polgári jogi szerződés keretébe</w:t>
      </w:r>
      <w:r>
        <w:t>n foglalkoztatott belső ellenőr látja el.</w:t>
      </w:r>
    </w:p>
    <w:sectPr w:rsidR="001A57B6" w:rsidSect="006C4F9D">
      <w:footerReference w:type="even" r:id="rId7"/>
      <w:footerReference w:type="default" r:id="rId8"/>
      <w:pgSz w:w="11906" w:h="16838"/>
      <w:pgMar w:top="1417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1C13" w:rsidRDefault="005A1C13">
      <w:r>
        <w:separator/>
      </w:r>
    </w:p>
  </w:endnote>
  <w:endnote w:type="continuationSeparator" w:id="1">
    <w:p w:rsidR="005A1C13" w:rsidRDefault="005A1C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Yu Gothic UI"/>
    <w:charset w:val="EE"/>
    <w:family w:val="roman"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B26" w:rsidRDefault="007730ED" w:rsidP="006C4F9D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8E5B26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8E5B26" w:rsidRDefault="008E5B26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B26" w:rsidRDefault="007730ED" w:rsidP="006C4F9D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8E5B26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8B1B6B">
      <w:rPr>
        <w:rStyle w:val="Oldalszm"/>
        <w:noProof/>
      </w:rPr>
      <w:t>2</w:t>
    </w:r>
    <w:r>
      <w:rPr>
        <w:rStyle w:val="Oldalszm"/>
      </w:rPr>
      <w:fldChar w:fldCharType="end"/>
    </w:r>
  </w:p>
  <w:p w:rsidR="008E5B26" w:rsidRDefault="008E5B26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1C13" w:rsidRDefault="005A1C13">
      <w:r>
        <w:separator/>
      </w:r>
    </w:p>
  </w:footnote>
  <w:footnote w:type="continuationSeparator" w:id="1">
    <w:p w:rsidR="005A1C13" w:rsidRDefault="005A1C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6"/>
    <w:multiLevelType w:val="singleLevel"/>
    <w:tmpl w:val="00000006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7"/>
    <w:multiLevelType w:val="singleLevel"/>
    <w:tmpl w:val="00000007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B"/>
    <w:multiLevelType w:val="multilevel"/>
    <w:tmpl w:val="0000000B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4">
    <w:nsid w:val="1684733C"/>
    <w:multiLevelType w:val="hybridMultilevel"/>
    <w:tmpl w:val="511E5B4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E955FE"/>
    <w:multiLevelType w:val="hybridMultilevel"/>
    <w:tmpl w:val="7C1019BA"/>
    <w:lvl w:ilvl="0" w:tplc="0000000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E7E85"/>
    <w:multiLevelType w:val="hybridMultilevel"/>
    <w:tmpl w:val="D6A288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C3584F"/>
    <w:multiLevelType w:val="hybridMultilevel"/>
    <w:tmpl w:val="0ACC85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6D6968"/>
    <w:multiLevelType w:val="hybridMultilevel"/>
    <w:tmpl w:val="3052095E"/>
    <w:lvl w:ilvl="0" w:tplc="35B0100E">
      <w:start w:val="1"/>
      <w:numFmt w:val="bullet"/>
      <w:lvlText w:val="-"/>
      <w:lvlJc w:val="left"/>
      <w:pPr>
        <w:ind w:left="1440" w:hanging="360"/>
      </w:p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736567F"/>
    <w:multiLevelType w:val="hybridMultilevel"/>
    <w:tmpl w:val="075A8352"/>
    <w:lvl w:ilvl="0" w:tplc="35B0100E">
      <w:start w:val="1"/>
      <w:numFmt w:val="bullet"/>
      <w:lvlText w:val="-"/>
      <w:lvlJc w:val="left"/>
      <w:pPr>
        <w:ind w:left="720" w:hanging="360"/>
      </w:p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8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0"/>
  <w:proofState w:spelling="clean" w:grammar="clean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43FA"/>
    <w:rsid w:val="0005419B"/>
    <w:rsid w:val="001523D5"/>
    <w:rsid w:val="00166283"/>
    <w:rsid w:val="00181DFE"/>
    <w:rsid w:val="001A57B6"/>
    <w:rsid w:val="001B1717"/>
    <w:rsid w:val="001C5697"/>
    <w:rsid w:val="00250F81"/>
    <w:rsid w:val="002B11F2"/>
    <w:rsid w:val="002D6D97"/>
    <w:rsid w:val="003E1BED"/>
    <w:rsid w:val="003E3D20"/>
    <w:rsid w:val="003E7D84"/>
    <w:rsid w:val="004313C5"/>
    <w:rsid w:val="00472AF2"/>
    <w:rsid w:val="004F2B77"/>
    <w:rsid w:val="005A1C13"/>
    <w:rsid w:val="00602AB4"/>
    <w:rsid w:val="006419E1"/>
    <w:rsid w:val="00663AAE"/>
    <w:rsid w:val="006C4F9D"/>
    <w:rsid w:val="006F2236"/>
    <w:rsid w:val="007007CD"/>
    <w:rsid w:val="007730ED"/>
    <w:rsid w:val="00783EC8"/>
    <w:rsid w:val="007D5E4D"/>
    <w:rsid w:val="007F0A29"/>
    <w:rsid w:val="008B1B6B"/>
    <w:rsid w:val="008B7191"/>
    <w:rsid w:val="008E5B26"/>
    <w:rsid w:val="00965B4A"/>
    <w:rsid w:val="00981996"/>
    <w:rsid w:val="009B1FD2"/>
    <w:rsid w:val="009D48D8"/>
    <w:rsid w:val="009F5E30"/>
    <w:rsid w:val="00A5563B"/>
    <w:rsid w:val="00A73C27"/>
    <w:rsid w:val="00AA0C43"/>
    <w:rsid w:val="00AA5DC6"/>
    <w:rsid w:val="00AC05FC"/>
    <w:rsid w:val="00AC43FA"/>
    <w:rsid w:val="00B710CB"/>
    <w:rsid w:val="00BD70A3"/>
    <w:rsid w:val="00BF36A3"/>
    <w:rsid w:val="00C2556F"/>
    <w:rsid w:val="00C47E81"/>
    <w:rsid w:val="00C83FEA"/>
    <w:rsid w:val="00C90EF4"/>
    <w:rsid w:val="00CE57BE"/>
    <w:rsid w:val="00DD3B44"/>
    <w:rsid w:val="00E3340F"/>
    <w:rsid w:val="00E7294A"/>
    <w:rsid w:val="00E91AB1"/>
    <w:rsid w:val="00F740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6C4F9D"/>
    <w:pPr>
      <w:widowControl w:val="0"/>
      <w:suppressAutoHyphens/>
    </w:pPr>
    <w:rPr>
      <w:rFonts w:eastAsia="Lucida Sans Unicode"/>
      <w:sz w:val="24"/>
      <w:szCs w:val="24"/>
    </w:rPr>
  </w:style>
  <w:style w:type="paragraph" w:styleId="Cmsor1">
    <w:name w:val="heading 1"/>
    <w:basedOn w:val="Norml"/>
    <w:next w:val="Norml"/>
    <w:qFormat/>
    <w:rsid w:val="006C4F9D"/>
    <w:pPr>
      <w:keepNext/>
      <w:jc w:val="center"/>
      <w:outlineLvl w:val="0"/>
    </w:pPr>
    <w:rPr>
      <w:b/>
      <w:position w:val="18"/>
      <w:sz w:val="26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6C4F9D"/>
    <w:pPr>
      <w:tabs>
        <w:tab w:val="center" w:pos="4536"/>
        <w:tab w:val="right" w:pos="9072"/>
      </w:tabs>
    </w:pPr>
  </w:style>
  <w:style w:type="paragraph" w:styleId="Szvegtrzsbehzssal">
    <w:name w:val="Body Text Indent"/>
    <w:basedOn w:val="Norml"/>
    <w:rsid w:val="006C4F9D"/>
    <w:pPr>
      <w:ind w:left="1242"/>
      <w:jc w:val="both"/>
    </w:pPr>
    <w:rPr>
      <w:szCs w:val="23"/>
    </w:rPr>
  </w:style>
  <w:style w:type="paragraph" w:styleId="llb">
    <w:name w:val="footer"/>
    <w:basedOn w:val="Norml"/>
    <w:rsid w:val="006C4F9D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6C4F9D"/>
  </w:style>
  <w:style w:type="paragraph" w:styleId="Szvegtrzs">
    <w:name w:val="Body Text"/>
    <w:basedOn w:val="Norml"/>
    <w:link w:val="SzvegtrzsChar"/>
    <w:rsid w:val="00250F81"/>
    <w:pPr>
      <w:spacing w:after="120"/>
    </w:pPr>
  </w:style>
  <w:style w:type="character" w:customStyle="1" w:styleId="SzvegtrzsChar">
    <w:name w:val="Szövegtörzs Char"/>
    <w:link w:val="Szvegtrzs"/>
    <w:rsid w:val="00250F81"/>
    <w:rPr>
      <w:rFonts w:eastAsia="Lucida Sans Unicode"/>
      <w:sz w:val="24"/>
      <w:szCs w:val="24"/>
    </w:rPr>
  </w:style>
  <w:style w:type="table" w:styleId="Rcsostblzat">
    <w:name w:val="Table Grid"/>
    <w:basedOn w:val="Normltblzat"/>
    <w:uiPriority w:val="39"/>
    <w:rsid w:val="00B710C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">
    <w:name w:val="Rácsos táblázat1"/>
    <w:basedOn w:val="Normltblzat"/>
    <w:next w:val="Rcsostblzat"/>
    <w:uiPriority w:val="39"/>
    <w:rsid w:val="00CE57B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732</Words>
  <Characters>5531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Stratégia terv 2008-2012</vt:lpstr>
    </vt:vector>
  </TitlesOfParts>
  <Manager>Szerv vezetője</Manager>
  <Company>Szegedi Kistérség Többcélú Társulása</Company>
  <LinksUpToDate>false</LinksUpToDate>
  <CharactersWithSpaces>6251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Stratégia terv 2008-2012</dc:title>
  <dc:subject>BE tervezése</dc:subject>
  <dc:creator>Juhász Lejlat okl.pü-i revizor</dc:creator>
  <cp:lastModifiedBy>kadarneren</cp:lastModifiedBy>
  <cp:revision>3</cp:revision>
  <dcterms:created xsi:type="dcterms:W3CDTF">2023-09-21T09:43:00Z</dcterms:created>
  <dcterms:modified xsi:type="dcterms:W3CDTF">2023-10-06T09:23:00Z</dcterms:modified>
</cp:coreProperties>
</file>