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3F3397">
      <w:pPr>
        <w:jc w:val="center"/>
        <w:rPr>
          <w:rFonts w:ascii="Arial" w:hAnsi="Arial" w:cs="Arial"/>
          <w:b/>
          <w:bCs/>
        </w:rPr>
      </w:pPr>
      <w:r>
        <w:rPr>
          <w:rFonts w:ascii="Arial" w:hAnsi="Arial" w:cs="Arial"/>
          <w:b/>
          <w:bCs/>
        </w:rPr>
        <w:t>Csongrád Városi Önkormányzat</w:t>
      </w:r>
      <w:r w:rsidR="00C57FA5" w:rsidRPr="00327CC1">
        <w:rPr>
          <w:rFonts w:ascii="Arial" w:hAnsi="Arial" w:cs="Arial"/>
          <w:b/>
          <w:bCs/>
        </w:rPr>
        <w:t xml:space="preserve">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r>
        <w:rPr>
          <w:rFonts w:ascii="Arial" w:hAnsi="Arial" w:cs="Arial"/>
          <w:b/>
          <w:bCs/>
        </w:rPr>
        <w:t xml:space="preserve">összhangban </w:t>
      </w:r>
    </w:p>
    <w:p w:rsidR="00B82729" w:rsidRDefault="00B82729">
      <w:pPr>
        <w:jc w:val="center"/>
        <w:rPr>
          <w:rFonts w:ascii="Arial" w:hAnsi="Arial" w:cs="Arial"/>
          <w:b/>
          <w:bCs/>
        </w:rPr>
      </w:pP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rsidR="00081066" w:rsidRDefault="00081066" w:rsidP="00CF6F59">
      <w:pPr>
        <w:pStyle w:val="Listaszerbekezds"/>
        <w:autoSpaceDE w:val="0"/>
        <w:autoSpaceDN w:val="0"/>
        <w:spacing w:line="276" w:lineRule="auto"/>
        <w:ind w:left="1077"/>
        <w:jc w:val="both"/>
        <w:rPr>
          <w:rFonts w:ascii="Arial" w:hAnsi="Arial" w:cs="Arial"/>
          <w:sz w:val="22"/>
          <w:szCs w:val="22"/>
        </w:rPr>
      </w:pPr>
    </w:p>
    <w:p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57FA5" w:rsidP="003A170A">
      <w:pPr>
        <w:jc w:val="both"/>
        <w:rPr>
          <w:rFonts w:ascii="Arial" w:hAnsi="Arial" w:cs="Arial"/>
          <w:i/>
          <w:snapToGrid w:val="0"/>
          <w:sz w:val="22"/>
          <w:szCs w:val="22"/>
        </w:rPr>
      </w:pPr>
    </w:p>
    <w:p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rsidR="00EF4142" w:rsidRPr="00FD6AAE" w:rsidRDefault="00EF4142">
      <w:pPr>
        <w:jc w:val="both"/>
        <w:rPr>
          <w:rFonts w:ascii="Arial" w:hAnsi="Arial" w:cs="Arial"/>
          <w:sz w:val="22"/>
          <w:szCs w:val="22"/>
        </w:rPr>
      </w:pPr>
    </w:p>
    <w:p w:rsidR="00E82151" w:rsidRPr="00585DDE" w:rsidRDefault="006F5986"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w:t>
      </w:r>
      <w:r w:rsidRPr="00FD6AAE">
        <w:rPr>
          <w:rFonts w:ascii="Arial" w:hAnsi="Arial" w:cs="Arial"/>
          <w:sz w:val="22"/>
          <w:szCs w:val="22"/>
        </w:rPr>
        <w:lastRenderedPageBreak/>
        <w:t xml:space="preserve">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rsidR="00C57FA5"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92025" w:rsidRDefault="00692025" w:rsidP="00436C2A">
      <w:pPr>
        <w:jc w:val="both"/>
        <w:rPr>
          <w:rFonts w:ascii="Arial" w:hAnsi="Arial" w:cs="Arial"/>
          <w:bCs/>
          <w:sz w:val="22"/>
          <w:szCs w:val="22"/>
        </w:rPr>
      </w:pPr>
    </w:p>
    <w:p w:rsidR="00297DB9" w:rsidRDefault="00297DB9" w:rsidP="00436C2A">
      <w:pPr>
        <w:jc w:val="both"/>
        <w:rPr>
          <w:rFonts w:ascii="Arial" w:hAnsi="Arial" w:cs="Arial"/>
          <w:bCs/>
          <w:sz w:val="22"/>
          <w:szCs w:val="22"/>
        </w:rPr>
      </w:pPr>
    </w:p>
    <w:p w:rsidR="00297DB9" w:rsidRPr="00436C2A" w:rsidRDefault="00297DB9"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r>
      <w:proofErr w:type="gramStart"/>
      <w:r w:rsidRPr="00FD6AAE">
        <w:rPr>
          <w:rFonts w:ascii="Arial" w:hAnsi="Arial" w:cs="Arial"/>
          <w:b/>
          <w:bCs/>
          <w:sz w:val="22"/>
          <w:szCs w:val="22"/>
        </w:rPr>
        <w:t>A</w:t>
      </w:r>
      <w:proofErr w:type="gramEnd"/>
      <w:r w:rsidRPr="00FD6AAE">
        <w:rPr>
          <w:rFonts w:ascii="Arial" w:hAnsi="Arial" w:cs="Arial"/>
          <w:b/>
          <w:bCs/>
          <w:sz w:val="22"/>
          <w:szCs w:val="22"/>
        </w:rPr>
        <w:t xml:space="preserve"> szociá</w:t>
      </w:r>
      <w:r w:rsidR="00BD496A">
        <w:rPr>
          <w:rFonts w:ascii="Arial" w:hAnsi="Arial" w:cs="Arial"/>
          <w:b/>
          <w:bCs/>
          <w:sz w:val="22"/>
          <w:szCs w:val="22"/>
        </w:rPr>
        <w:t xml:space="preserve">lis rászorultság igazolására okiratok, melyeket a települési önkormányzat határoz meg. </w:t>
      </w:r>
    </w:p>
    <w:p w:rsidR="00EF4142" w:rsidRDefault="00EF4142">
      <w:pPr>
        <w:jc w:val="both"/>
        <w:rPr>
          <w:rFonts w:ascii="Arial" w:hAnsi="Arial" w:cs="Arial"/>
          <w:b/>
          <w:bCs/>
          <w:sz w:val="22"/>
          <w:szCs w:val="22"/>
        </w:rPr>
      </w:pP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w:t>
      </w:r>
      <w:r w:rsidRPr="00FD6AAE">
        <w:rPr>
          <w:rFonts w:ascii="Arial" w:hAnsi="Arial" w:cs="Arial"/>
          <w:i/>
          <w:sz w:val="22"/>
          <w:szCs w:val="22"/>
        </w:rPr>
        <w:lastRenderedPageBreak/>
        <w:t>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rPr>
        <w:t xml:space="preserve">a </w:t>
      </w:r>
      <w:proofErr w:type="spellStart"/>
      <w:r w:rsidRPr="00D44D47">
        <w:rPr>
          <w:rFonts w:ascii="Arial" w:hAnsi="Arial" w:cs="Arial"/>
          <w:i/>
          <w:sz w:val="22"/>
          <w:szCs w:val="22"/>
          <w:lang/>
        </w:rPr>
        <w:t>rendkívüli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települési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támogatás</w:t>
      </w:r>
      <w:proofErr w:type="spellEnd"/>
      <w:r w:rsidRPr="00D44D47">
        <w:rPr>
          <w:rFonts w:ascii="Arial" w:hAnsi="Arial" w:cs="Arial"/>
          <w:i/>
          <w:sz w:val="22"/>
          <w:szCs w:val="22"/>
          <w:lang/>
        </w:rPr>
        <w:t xml:space="preserve">, a </w:t>
      </w:r>
      <w:proofErr w:type="spellStart"/>
      <w:r w:rsidRPr="00D44D47">
        <w:rPr>
          <w:rFonts w:ascii="Arial" w:hAnsi="Arial" w:cs="Arial"/>
          <w:i/>
          <w:sz w:val="22"/>
          <w:szCs w:val="22"/>
          <w:lang/>
        </w:rPr>
        <w:t>lakásfenntartási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támogatás</w:t>
      </w:r>
      <w:proofErr w:type="spellEnd"/>
      <w:r w:rsidRPr="00D44D47">
        <w:rPr>
          <w:rFonts w:ascii="Arial" w:hAnsi="Arial" w:cs="Arial"/>
          <w:i/>
          <w:sz w:val="22"/>
          <w:szCs w:val="22"/>
          <w:lang/>
        </w:rPr>
        <w:t xml:space="preserve">, az </w:t>
      </w:r>
      <w:proofErr w:type="spellStart"/>
      <w:r w:rsidRPr="00D44D47">
        <w:rPr>
          <w:rFonts w:ascii="Arial" w:hAnsi="Arial" w:cs="Arial"/>
          <w:i/>
          <w:sz w:val="22"/>
          <w:szCs w:val="22"/>
          <w:lang/>
        </w:rPr>
        <w:t>adósságcsökkentési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támogatás</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valamint</w:t>
      </w:r>
      <w:proofErr w:type="spellEnd"/>
      <w:r w:rsidRPr="00D44D47">
        <w:rPr>
          <w:rFonts w:ascii="Arial" w:hAnsi="Arial" w:cs="Arial"/>
          <w:i/>
          <w:sz w:val="22"/>
          <w:szCs w:val="22"/>
          <w:lang/>
        </w:rPr>
        <w:t xml:space="preserve"> a </w:t>
      </w:r>
      <w:proofErr w:type="spellStart"/>
      <w:r w:rsidRPr="00D44D47">
        <w:rPr>
          <w:rFonts w:ascii="Arial" w:hAnsi="Arial" w:cs="Arial"/>
          <w:i/>
          <w:sz w:val="22"/>
          <w:szCs w:val="22"/>
          <w:lang/>
        </w:rPr>
        <w:t>lakhatáshoz</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kapcsolódó</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rendszeres</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kiadások</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viseléséhez</w:t>
      </w:r>
      <w:proofErr w:type="spellEnd"/>
      <w:r w:rsidRPr="00D44D47">
        <w:rPr>
          <w:rFonts w:ascii="Arial" w:hAnsi="Arial" w:cs="Arial"/>
          <w:i/>
          <w:sz w:val="22"/>
          <w:szCs w:val="22"/>
          <w:lang/>
        </w:rPr>
        <w:t xml:space="preserve">, a </w:t>
      </w:r>
      <w:proofErr w:type="spellStart"/>
      <w:r w:rsidRPr="00D44D47">
        <w:rPr>
          <w:rFonts w:ascii="Arial" w:hAnsi="Arial" w:cs="Arial"/>
          <w:i/>
          <w:sz w:val="22"/>
          <w:szCs w:val="22"/>
          <w:lang/>
        </w:rPr>
        <w:t>gyógyszerkiadások</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viseléséhez</w:t>
      </w:r>
      <w:proofErr w:type="spellEnd"/>
      <w:r w:rsidRPr="00D44D47">
        <w:rPr>
          <w:rFonts w:ascii="Arial" w:hAnsi="Arial" w:cs="Arial"/>
          <w:i/>
          <w:sz w:val="22"/>
          <w:szCs w:val="22"/>
          <w:lang/>
        </w:rPr>
        <w:t xml:space="preserve"> és a </w:t>
      </w:r>
      <w:proofErr w:type="spellStart"/>
      <w:r w:rsidRPr="00D44D47">
        <w:rPr>
          <w:rFonts w:ascii="Arial" w:hAnsi="Arial" w:cs="Arial"/>
          <w:i/>
          <w:sz w:val="22"/>
          <w:szCs w:val="22"/>
          <w:lang/>
        </w:rPr>
        <w:t>lakhatási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kiadásokhoz</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kapcsolódó</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hátralékot</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felhalmozó</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személyek</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részére</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nyújtott</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települési</w:t>
      </w:r>
      <w:proofErr w:type="spellEnd"/>
      <w:r w:rsidRPr="00D44D47">
        <w:rPr>
          <w:rFonts w:ascii="Arial" w:hAnsi="Arial" w:cs="Arial"/>
          <w:i/>
          <w:sz w:val="22"/>
          <w:szCs w:val="22"/>
          <w:lang/>
        </w:rPr>
        <w:t xml:space="preserve"> </w:t>
      </w:r>
      <w:proofErr w:type="spellStart"/>
      <w:r w:rsidRPr="00D44D47">
        <w:rPr>
          <w:rFonts w:ascii="Arial" w:hAnsi="Arial" w:cs="Arial"/>
          <w:i/>
          <w:sz w:val="22"/>
          <w:szCs w:val="22"/>
          <w:lang/>
        </w:rPr>
        <w:t>támogatás</w:t>
      </w:r>
      <w:proofErr w:type="spellEnd"/>
      <w:r w:rsidRPr="00D44D47">
        <w:rPr>
          <w:rFonts w:ascii="Arial" w:hAnsi="Arial" w:cs="Arial"/>
          <w:i/>
          <w:sz w:val="22"/>
          <w:szCs w:val="22"/>
        </w:rPr>
        <w:t>,</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lastRenderedPageBreak/>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37212" w:rsidRPr="00FD6AAE" w:rsidRDefault="00037212" w:rsidP="001F421A">
      <w:pPr>
        <w:jc w:val="both"/>
        <w:rPr>
          <w:rFonts w:ascii="Arial" w:hAnsi="Arial" w:cs="Arial"/>
          <w:snapToGrid w:val="0"/>
          <w:sz w:val="22"/>
          <w:szCs w:val="22"/>
        </w:rPr>
      </w:pPr>
    </w:p>
    <w:p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rsidR="00037212" w:rsidRPr="00542569" w:rsidRDefault="006F5986"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w:t>
      </w:r>
      <w:bookmarkStart w:id="0" w:name="_GoBack"/>
      <w:bookmarkEnd w:id="0"/>
      <w:r w:rsidR="00A044CB" w:rsidRPr="00A044CB">
        <w:rPr>
          <w:rFonts w:ascii="Arial" w:hAnsi="Arial" w:cs="Arial"/>
          <w:sz w:val="22"/>
          <w:szCs w:val="22"/>
        </w:rPr>
        <w:t>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lastRenderedPageBreak/>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w:t>
      </w:r>
      <w:r w:rsidRPr="00FD6AAE">
        <w:rPr>
          <w:rFonts w:ascii="Arial" w:hAnsi="Arial" w:cs="Arial"/>
          <w:sz w:val="22"/>
          <w:szCs w:val="22"/>
        </w:rPr>
        <w:lastRenderedPageBreak/>
        <w:t xml:space="preserve">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EF4142" w:rsidRDefault="00EF4142" w:rsidP="009E1377">
      <w:pPr>
        <w:tabs>
          <w:tab w:val="num" w:pos="0"/>
        </w:tabs>
        <w:jc w:val="both"/>
        <w:rPr>
          <w:rFonts w:ascii="Arial" w:hAnsi="Arial" w:cs="Arial"/>
          <w:sz w:val="22"/>
          <w:szCs w:val="22"/>
        </w:rPr>
      </w:pPr>
    </w:p>
    <w:p w:rsidR="00C57FA5" w:rsidRDefault="00C57FA5" w:rsidP="009B546D">
      <w:pPr>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rsidR="00EF4142" w:rsidRPr="00FD6AAE" w:rsidRDefault="00EF4142"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E14" w:rsidRDefault="00334E14" w:rsidP="002B7428">
      <w:r>
        <w:separator/>
      </w:r>
    </w:p>
  </w:endnote>
  <w:endnote w:type="continuationSeparator" w:id="0">
    <w:p w:rsidR="00334E14" w:rsidRDefault="00334E14"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6F5986">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9B546D">
          <w:rPr>
            <w:rFonts w:ascii="Arial" w:hAnsi="Arial" w:cs="Arial"/>
            <w:noProof/>
            <w:sz w:val="20"/>
            <w:szCs w:val="20"/>
          </w:rPr>
          <w:t>7</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E14" w:rsidRDefault="00334E14" w:rsidP="002B7428">
      <w:r>
        <w:separator/>
      </w:r>
    </w:p>
  </w:footnote>
  <w:footnote w:type="continuationSeparator" w:id="0">
    <w:p w:rsidR="00334E14" w:rsidRDefault="00334E14"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08"/>
  <w:hyphenationZone w:val="425"/>
  <w:noPunctuationKerning/>
  <w:characterSpacingControl w:val="doNotCompress"/>
  <w:hdrShapeDefaults>
    <o:shapedefaults v:ext="edit" spidmax="15362"/>
  </w:hdrShapeDefaults>
  <w:footnotePr>
    <w:footnote w:id="-1"/>
    <w:footnote w:id="0"/>
  </w:footnotePr>
  <w:endnotePr>
    <w:endnote w:id="-1"/>
    <w:endnote w:id="0"/>
  </w:endnotePr>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34E14"/>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3F3397"/>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6F5986"/>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B546D"/>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D496A"/>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2328B"/>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2900</Words>
  <Characters>20013</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22868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Borcsa</cp:lastModifiedBy>
  <cp:revision>3</cp:revision>
  <cp:lastPrinted>2014-06-20T15:38:00Z</cp:lastPrinted>
  <dcterms:created xsi:type="dcterms:W3CDTF">2019-09-26T07:06:00Z</dcterms:created>
  <dcterms:modified xsi:type="dcterms:W3CDTF">2019-09-26T07:09:00Z</dcterms:modified>
</cp:coreProperties>
</file>