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F8" w:rsidRDefault="00CA70F8" w:rsidP="00CA70F8">
      <w:pPr>
        <w:rPr>
          <w:b/>
        </w:rPr>
      </w:pPr>
      <w:bookmarkStart w:id="0" w:name="_GoBack"/>
      <w:bookmarkEnd w:id="0"/>
      <w:r>
        <w:rPr>
          <w:b/>
        </w:rPr>
        <w:t xml:space="preserve">Csongrád Város Polgármesterétől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CA70F8" w:rsidRDefault="00CA70F8" w:rsidP="00CA70F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70F8" w:rsidRDefault="00CA70F8" w:rsidP="00CA70F8">
      <w:r>
        <w:rPr>
          <w:b/>
        </w:rPr>
        <w:t>Száma:</w:t>
      </w:r>
      <w:r>
        <w:t xml:space="preserve"> Szo/54-11/2022</w:t>
      </w:r>
    </w:p>
    <w:p w:rsidR="00CA70F8" w:rsidRDefault="00CA70F8" w:rsidP="00CA70F8">
      <w:r>
        <w:rPr>
          <w:b/>
        </w:rPr>
        <w:t>Témafelelős:</w:t>
      </w:r>
      <w:r>
        <w:t xml:space="preserve"> Vinczéné Dudás Katalin</w:t>
      </w:r>
    </w:p>
    <w:p w:rsidR="00CA70F8" w:rsidRDefault="00CA70F8" w:rsidP="00CA70F8">
      <w:pPr>
        <w:jc w:val="center"/>
        <w:rPr>
          <w:b/>
          <w:i/>
          <w:spacing w:val="40"/>
        </w:rPr>
      </w:pPr>
    </w:p>
    <w:p w:rsidR="00CA70F8" w:rsidRDefault="00CA70F8" w:rsidP="00CA70F8">
      <w:pPr>
        <w:jc w:val="center"/>
        <w:rPr>
          <w:b/>
          <w:i/>
          <w:spacing w:val="40"/>
        </w:rPr>
      </w:pPr>
    </w:p>
    <w:p w:rsidR="00CA70F8" w:rsidRDefault="00CA70F8" w:rsidP="00CA70F8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CA70F8" w:rsidRDefault="00CA70F8" w:rsidP="00CA70F8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CA70F8" w:rsidRDefault="00CA70F8" w:rsidP="00CA70F8">
      <w:pPr>
        <w:jc w:val="center"/>
        <w:rPr>
          <w:b/>
          <w:i/>
        </w:rPr>
      </w:pPr>
      <w:r>
        <w:rPr>
          <w:b/>
          <w:i/>
        </w:rPr>
        <w:t>2022. augusztus 25-ei ülésére</w:t>
      </w:r>
    </w:p>
    <w:p w:rsidR="00CA70F8" w:rsidRDefault="00CA70F8" w:rsidP="00CA70F8">
      <w:pPr>
        <w:rPr>
          <w:highlight w:val="yellow"/>
        </w:rPr>
      </w:pPr>
    </w:p>
    <w:p w:rsidR="00CA70F8" w:rsidRDefault="00CA70F8" w:rsidP="00CA70F8">
      <w:pPr>
        <w:pStyle w:val="Standard"/>
        <w:ind w:left="851" w:hanging="851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  <w:rPr>
          <w:b/>
        </w:rPr>
      </w:pPr>
      <w:r>
        <w:rPr>
          <w:b/>
        </w:rPr>
        <w:t>Tisztelt Képviselő-testület!</w:t>
      </w:r>
    </w:p>
    <w:p w:rsidR="00CA70F8" w:rsidRDefault="00CA70F8" w:rsidP="00CA70F8">
      <w:pPr>
        <w:jc w:val="both"/>
        <w:rPr>
          <w:b/>
        </w:rPr>
      </w:pPr>
    </w:p>
    <w:p w:rsidR="00CA70F8" w:rsidRDefault="00CA70F8" w:rsidP="00CA70F8">
      <w:pPr>
        <w:jc w:val="both"/>
      </w:pPr>
      <w:r>
        <w:t>A képviselő-testület 10/2020. (II. 21.) önkormányzati rendelete (a továbbiakban: R.) szabályozza a különböző jogcímeken adható települési támogatás megállapításának, kifizetésének, folyósításának, valamint felhasználásának ellenőrzéséről szóló rendelkezéseket.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</w:pPr>
      <w:r>
        <w:t>A képviselő-testület 2022. június 30-ai ülésén módosította a fenti rendeletét a fűtési támogatás vonatkozásában.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</w:pPr>
      <w:r>
        <w:t xml:space="preserve">Az Országgyűlés 2022. július 21-én fogadta el </w:t>
      </w:r>
      <w:r>
        <w:rPr>
          <w:i/>
        </w:rPr>
        <w:t>az egyes egyetemes szolgáltatási árszabások meghatározásáról szóló 259/2022 (VII.21.) Kormányrendeletét (a továbbiakban: Kormányrendelet)</w:t>
      </w:r>
      <w:r>
        <w:t xml:space="preserve">, melyben 2022. augusztus 1-jétől bevezetésre került a </w:t>
      </w:r>
      <w:r>
        <w:rPr>
          <w:b/>
        </w:rPr>
        <w:t>lakossági piaci ár</w:t>
      </w:r>
      <w:r>
        <w:t xml:space="preserve"> 2523/kWh/év/mérési pont (felhasználási hely), illetve 1729m</w:t>
      </w:r>
      <w:r>
        <w:rPr>
          <w:vertAlign w:val="superscript"/>
        </w:rPr>
        <w:t>3</w:t>
      </w:r>
      <w:r>
        <w:t>/év/mérési pont (felhasználási hely) fogyasztás felett.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</w:pPr>
      <w:r>
        <w:t xml:space="preserve">A Kormányrendeletben meghatározott éves fogyasztásig az ügyfél rezsicsökkentett áron vételezi a villamos energiát és a földgázszolgáltatást.  </w:t>
      </w:r>
    </w:p>
    <w:p w:rsidR="00CA70F8" w:rsidRDefault="00CA70F8" w:rsidP="00CA70F8">
      <w:pPr>
        <w:jc w:val="both"/>
      </w:pPr>
    </w:p>
    <w:tbl>
      <w:tblPr>
        <w:tblStyle w:val="Rcsostblzat"/>
        <w:tblW w:w="9242" w:type="dxa"/>
        <w:tblInd w:w="0" w:type="dxa"/>
        <w:tblLook w:val="04A0" w:firstRow="1" w:lastRow="0" w:firstColumn="1" w:lastColumn="0" w:noHBand="0" w:noVBand="1"/>
      </w:tblPr>
      <w:tblGrid>
        <w:gridCol w:w="1299"/>
        <w:gridCol w:w="2108"/>
        <w:gridCol w:w="2256"/>
        <w:gridCol w:w="2181"/>
        <w:gridCol w:w="1398"/>
      </w:tblGrid>
      <w:tr w:rsidR="00CA70F8" w:rsidTr="00CA70F8">
        <w:trPr>
          <w:trHeight w:val="8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Átlagfogyasztási sávhatár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Rezsicsökkentett ár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Lakossági piaci ár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Világpiaci ár</w:t>
            </w:r>
          </w:p>
        </w:tc>
      </w:tr>
      <w:tr w:rsidR="00CA70F8" w:rsidTr="00CA70F8">
        <w:trPr>
          <w:trHeight w:val="56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Éves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2523 kWh</w:t>
            </w: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36,- Ft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70,1,-Ft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268,9,-Ft</w:t>
            </w:r>
          </w:p>
        </w:tc>
      </w:tr>
      <w:tr w:rsidR="00CA70F8" w:rsidTr="00CA70F8">
        <w:trPr>
          <w:trHeight w:val="28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Havi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 kWh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70F8" w:rsidTr="00CA70F8">
        <w:trPr>
          <w:trHeight w:val="28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Éves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1729 m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102,- Ft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747,- Ft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1.020,- Ft</w:t>
            </w:r>
          </w:p>
        </w:tc>
      </w:tr>
      <w:tr w:rsidR="00CA70F8" w:rsidTr="00CA70F8">
        <w:trPr>
          <w:trHeight w:val="29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Havi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F8" w:rsidRDefault="00CA70F8">
            <w:pPr>
              <w:pStyle w:val="x2h-tartalom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havi 144 m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F8" w:rsidRDefault="00CA70F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jc w:val="both"/>
      </w:pPr>
      <w:r>
        <w:t>Az új szabályozás értelmében 1729 m</w:t>
      </w:r>
      <w:r>
        <w:rPr>
          <w:vertAlign w:val="superscript"/>
        </w:rPr>
        <w:t>3</w:t>
      </w:r>
      <w:r>
        <w:t xml:space="preserve"> éves gázfogyasztás felett a rezsicsökkentett ár </w:t>
      </w:r>
      <w:proofErr w:type="gramStart"/>
      <w:r>
        <w:t>több, mint</w:t>
      </w:r>
      <w:proofErr w:type="gramEnd"/>
      <w:r>
        <w:t xml:space="preserve"> 7-szeresét (747,- Ft/m</w:t>
      </w:r>
      <w:r>
        <w:rPr>
          <w:vertAlign w:val="superscript"/>
        </w:rPr>
        <w:t>3</w:t>
      </w:r>
      <w:r>
        <w:t>) kell majd fizetni, mely óriási mértékben megemeli a háztartások fűtési kiadásait.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</w:pPr>
      <w:r>
        <w:t>A megnövekedett infláció, az elszabaduló energia- és nyersanyagárak indokolttá teszik a jogosultsági jövedelemhatár felülvizsgálatát és megemelését. A támogatási összeg differenciálását a rezsicsökkentéssel kapcsolatos központi szabályozás támasztja alá.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  <w:r>
        <w:t xml:space="preserve">A fentiek miatt javaslom a fűtési támogatás jogosultsági jövedelemhatárának és havi összegének megemelését az alábbiak szerint: 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>Javaslom, hogy a R. 10.§ (1) bekezdése helyébe az alábbi szöveg kerüljön: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 xml:space="preserve">„ Fűtési támogatás adható annak a kérelmezőnek, akinek háztartásában az egy főre jutó havi jövedelem nem haladja meg az öregségi nyugdíj mindenkori legkisebb összegének </w:t>
      </w:r>
      <w:r>
        <w:rPr>
          <w:b/>
          <w:i/>
          <w:color w:val="000000"/>
        </w:rPr>
        <w:t>350%-át</w:t>
      </w:r>
      <w:r>
        <w:rPr>
          <w:color w:val="000000"/>
        </w:rPr>
        <w:t xml:space="preserve">, egyszemélyes háztartás esetén az öregségi nyugdíjminimum </w:t>
      </w:r>
      <w:r>
        <w:rPr>
          <w:b/>
          <w:i/>
          <w:color w:val="000000"/>
        </w:rPr>
        <w:t>450%</w:t>
      </w:r>
      <w:r>
        <w:rPr>
          <w:i/>
          <w:color w:val="000000"/>
        </w:rPr>
        <w:t>-át</w:t>
      </w:r>
      <w:r>
        <w:rPr>
          <w:color w:val="000000"/>
        </w:rPr>
        <w:t>.”</w:t>
      </w: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  <w:r>
        <w:t>A módosítás következtében a jövedelemhatár többtagú háztartás esetén 85.500,- Ft-ról 99.750,- Ft-ra, egyszemélyes háztartás esetén 99.750,- Ft-ról 128.250,- Ft-ra változna.</w:t>
      </w: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>Javaslom, hogy a R. 10.§ (5) bekezdése helyébe az alábbi szöveg kerüljön: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(5)” A támogatás összege</w:t>
      </w:r>
      <w:r>
        <w:rPr>
          <w:b/>
          <w:color w:val="000000"/>
        </w:rPr>
        <w:t xml:space="preserve"> távfűtés esetén 4.000,- Ft/hó, villanyfűtésnél 5.000,- Ft/hó,</w:t>
      </w:r>
      <w:r>
        <w:rPr>
          <w:b/>
          <w:i/>
          <w:color w:val="000000"/>
        </w:rPr>
        <w:t xml:space="preserve"> </w:t>
      </w:r>
      <w:proofErr w:type="gramStart"/>
      <w:r>
        <w:rPr>
          <w:b/>
          <w:color w:val="000000"/>
        </w:rPr>
        <w:t>gáz fűtésnél</w:t>
      </w:r>
      <w:proofErr w:type="gramEnd"/>
      <w:r>
        <w:rPr>
          <w:b/>
          <w:color w:val="000000"/>
        </w:rPr>
        <w:t xml:space="preserve"> 7.000,- Ft/</w:t>
      </w:r>
      <w:proofErr w:type="spellStart"/>
      <w:r>
        <w:rPr>
          <w:b/>
          <w:color w:val="000000"/>
        </w:rPr>
        <w:t>hó</w:t>
      </w:r>
      <w:r>
        <w:rPr>
          <w:color w:val="000000"/>
        </w:rPr>
        <w:t>.Tűzifa</w:t>
      </w:r>
      <w:proofErr w:type="spellEnd"/>
      <w:r>
        <w:rPr>
          <w:color w:val="000000"/>
        </w:rPr>
        <w:t xml:space="preserve"> igénylése esetén a támogatás mértéke 1,5 erdei m</w:t>
      </w:r>
      <w:r>
        <w:rPr>
          <w:color w:val="000000"/>
          <w:vertAlign w:val="superscript"/>
        </w:rPr>
        <w:t>3 </w:t>
      </w:r>
      <w:r>
        <w:rPr>
          <w:color w:val="000000"/>
        </w:rPr>
        <w:t>tűzifa”.</w:t>
      </w: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  <w:r>
        <w:t xml:space="preserve">A módosítás következtében a támogatás összege differenciálásra kerülne. A folyósítás időtartama változatlanul hat hónap (november-április), a támogatás az ügyfél által megjelölt szolgáltató (MVM Energiakereskedelmi </w:t>
      </w:r>
      <w:proofErr w:type="spellStart"/>
      <w:r>
        <w:t>Zrt</w:t>
      </w:r>
      <w:proofErr w:type="spellEnd"/>
      <w:proofErr w:type="gramStart"/>
      <w:r>
        <w:t>.,</w:t>
      </w:r>
      <w:proofErr w:type="gramEnd"/>
      <w:r>
        <w:t xml:space="preserve"> Csongrádi Közmű Kft., társasházi számla) számlájára történik.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  <w:i/>
          <w:color w:val="000000"/>
        </w:rPr>
      </w:pPr>
      <w:r>
        <w:rPr>
          <w:color w:val="000000"/>
        </w:rPr>
        <w:t xml:space="preserve">Javaslom, hogy a fenti rendelkezések kerüljenek alkalmazásra a már folyamatban lévő ügyekben is. </w:t>
      </w:r>
    </w:p>
    <w:p w:rsidR="00CA70F8" w:rsidRDefault="00CA70F8" w:rsidP="00CA70F8">
      <w:pPr>
        <w:pStyle w:val="x2h-tartalom"/>
        <w:spacing w:before="0" w:beforeAutospacing="0" w:after="0" w:afterAutospacing="0"/>
        <w:jc w:val="both"/>
      </w:pPr>
    </w:p>
    <w:p w:rsidR="00CA70F8" w:rsidRDefault="00CA70F8" w:rsidP="00CA70F8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CA70F8" w:rsidRDefault="00CA70F8" w:rsidP="00CA70F8">
      <w:pPr>
        <w:pStyle w:val="Standard"/>
        <w:jc w:val="both"/>
        <w:rPr>
          <w:b/>
          <w:sz w:val="24"/>
          <w:szCs w:val="24"/>
        </w:rPr>
      </w:pPr>
    </w:p>
    <w:p w:rsidR="00CA70F8" w:rsidRDefault="00CA70F8" w:rsidP="00CA70F8">
      <w:pPr>
        <w:jc w:val="both"/>
      </w:pPr>
      <w:r>
        <w:t>A Szociális és Lakásügyi Iroda folyamatosan figyelemmel kíséri a lakosság szociális és egészségügyi helyzetét és a megváltozott körülmények esetén javaslattal él a rendelet módosítására, kiegészítésére vagy új ellátási forma bevezetésére.</w:t>
      </w:r>
    </w:p>
    <w:p w:rsidR="00CA70F8" w:rsidRDefault="00CA70F8" w:rsidP="00CA70F8">
      <w:pPr>
        <w:jc w:val="both"/>
      </w:pPr>
    </w:p>
    <w:p w:rsidR="00CA70F8" w:rsidRDefault="00CA70F8" w:rsidP="00CA70F8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 és kiegészítését.</w:t>
      </w:r>
    </w:p>
    <w:p w:rsidR="00CA70F8" w:rsidRDefault="00CA70F8" w:rsidP="00CA70F8"/>
    <w:p w:rsidR="00CA70F8" w:rsidRDefault="00CA70F8" w:rsidP="00CA70F8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CA70F8" w:rsidRDefault="00CA70F8" w:rsidP="00CA70F8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CA70F8" w:rsidRDefault="00CA70F8" w:rsidP="00CA70F8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CA70F8" w:rsidRDefault="00CA70F8" w:rsidP="00CA70F8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CA70F8" w:rsidRDefault="00CA70F8" w:rsidP="00CA70F8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CA70F8" w:rsidRDefault="00CA70F8" w:rsidP="00CA70F8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CA70F8" w:rsidRDefault="00CA70F8" w:rsidP="00CA70F8">
      <w:pPr>
        <w:ind w:left="540"/>
        <w:jc w:val="both"/>
        <w:textAlignment w:val="baseline"/>
      </w:pPr>
    </w:p>
    <w:p w:rsidR="00CA70F8" w:rsidRDefault="00CA70F8" w:rsidP="00CA70F8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CA70F8" w:rsidRDefault="00CA70F8" w:rsidP="00CA70F8">
      <w:pPr>
        <w:ind w:left="360" w:hanging="360"/>
        <w:jc w:val="both"/>
        <w:textAlignment w:val="baseline"/>
      </w:pPr>
    </w:p>
    <w:p w:rsidR="00CA70F8" w:rsidRDefault="00CA70F8" w:rsidP="00CA70F8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CA70F8" w:rsidRDefault="00CA70F8" w:rsidP="00CA70F8">
      <w:pPr>
        <w:ind w:left="360" w:hanging="360"/>
        <w:jc w:val="both"/>
        <w:textAlignment w:val="baseline"/>
      </w:pPr>
    </w:p>
    <w:p w:rsidR="00CA70F8" w:rsidRDefault="00CA70F8" w:rsidP="00CA70F8">
      <w:pPr>
        <w:numPr>
          <w:ilvl w:val="3"/>
          <w:numId w:val="3"/>
        </w:numPr>
        <w:tabs>
          <w:tab w:val="num" w:pos="360"/>
        </w:tabs>
        <w:suppressAutoHyphens w:val="0"/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CA70F8" w:rsidRDefault="00CA70F8" w:rsidP="00CA70F8">
      <w:pPr>
        <w:jc w:val="both"/>
      </w:pPr>
      <w:r>
        <w:t>A képviselő-testület a jelenlegi makrogazdasági helyzetet, az elszabaduló energiaárakat figyelembe véve célzott és hatékony fűtési támogatás biztosításával kívánja a rászoruló háztartások szociális biztonságát erősíteni.</w:t>
      </w:r>
    </w:p>
    <w:p w:rsidR="00CA70F8" w:rsidRDefault="00CA70F8" w:rsidP="00CA70F8">
      <w:pPr>
        <w:jc w:val="both"/>
      </w:pPr>
      <w:r>
        <w:t xml:space="preserve"> </w:t>
      </w:r>
    </w:p>
    <w:p w:rsidR="00CA70F8" w:rsidRDefault="00CA70F8" w:rsidP="00CA70F8">
      <w:pPr>
        <w:jc w:val="both"/>
        <w:textAlignment w:val="baseline"/>
      </w:pPr>
      <w:r>
        <w:rPr>
          <w:b/>
          <w:i/>
        </w:rPr>
        <w:t xml:space="preserve">2. Rendelet-tervezet megalkotása környezeti és egészségügyi következményei: </w:t>
      </w:r>
      <w:r>
        <w:t>az önkormányzati rendelet eltérő élethelyzetet kezelő települési támogatásra jogosító különböző jövedelemhatárai biztosítják a különböző élethelyzethez nyújtható hathatós segítség lehetőségét.</w:t>
      </w:r>
    </w:p>
    <w:p w:rsidR="00CA70F8" w:rsidRDefault="00CA70F8" w:rsidP="00CA70F8">
      <w:pPr>
        <w:pStyle w:val="Listaszerbekezds"/>
        <w:ind w:left="2880"/>
        <w:jc w:val="both"/>
        <w:textAlignment w:val="baseline"/>
        <w:rPr>
          <w:b/>
          <w:i/>
        </w:rPr>
      </w:pPr>
    </w:p>
    <w:p w:rsidR="00CA70F8" w:rsidRDefault="00CA70F8" w:rsidP="00CA70F8">
      <w:pPr>
        <w:jc w:val="both"/>
        <w:textAlignment w:val="baseline"/>
      </w:pPr>
      <w:r>
        <w:rPr>
          <w:b/>
          <w:i/>
        </w:rPr>
        <w:t>3. Tervezett rendelet megalkotása adminisztratív terheket befolyásoló hatásai:</w:t>
      </w:r>
      <w:r>
        <w:rPr>
          <w:b/>
          <w:i/>
        </w:rPr>
        <w:tab/>
      </w:r>
      <w:r>
        <w:t>nem növeli</w:t>
      </w:r>
    </w:p>
    <w:p w:rsidR="00CA70F8" w:rsidRDefault="00CA70F8" w:rsidP="00CA70F8">
      <w:pPr>
        <w:jc w:val="both"/>
        <w:textAlignment w:val="baseline"/>
      </w:pPr>
    </w:p>
    <w:p w:rsidR="00CA70F8" w:rsidRDefault="00CA70F8" w:rsidP="00CA70F8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4. Jogszabály megalkotásának szükségessége, a rendeletalkotás elmaradásának várható következményei: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  <w:r>
        <w:t xml:space="preserve">Javaslatom bevezető részében részleteztem a rendelet megalkotásának szükségességét. 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</w:p>
    <w:p w:rsidR="00CA70F8" w:rsidRDefault="00CA70F8" w:rsidP="00CA70F8">
      <w:pPr>
        <w:jc w:val="both"/>
        <w:textAlignment w:val="baseline"/>
        <w:rPr>
          <w:b/>
          <w:i/>
        </w:rPr>
      </w:pPr>
      <w:r>
        <w:rPr>
          <w:b/>
          <w:i/>
        </w:rPr>
        <w:t>5.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 a szükséges tárgyi, személyi, pénzügyi feltételek a 2022. évi költségvetésben kerülnek biztosításra.</w:t>
      </w:r>
    </w:p>
    <w:p w:rsidR="00CA70F8" w:rsidRDefault="00CA70F8" w:rsidP="00CA70F8">
      <w:pPr>
        <w:tabs>
          <w:tab w:val="left" w:pos="540"/>
        </w:tabs>
        <w:jc w:val="both"/>
        <w:textAlignment w:val="baseline"/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  <w:r>
        <w:rPr>
          <w:color w:val="000000"/>
        </w:rPr>
        <w:t>Csongrád, 2022. augusztus 17.</w:t>
      </w: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jc w:val="both"/>
        <w:rPr>
          <w:color w:val="000000"/>
        </w:rPr>
      </w:pPr>
    </w:p>
    <w:p w:rsidR="00CA70F8" w:rsidRDefault="00CA70F8" w:rsidP="00CA70F8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Bedő Tamás</w:t>
      </w:r>
    </w:p>
    <w:p w:rsidR="00CA70F8" w:rsidRDefault="00CA70F8" w:rsidP="00CA70F8">
      <w:pPr>
        <w:ind w:left="5664"/>
        <w:rPr>
          <w:color w:val="000000"/>
        </w:rPr>
      </w:pPr>
      <w:r>
        <w:rPr>
          <w:color w:val="000000"/>
        </w:rPr>
        <w:t xml:space="preserve">               </w:t>
      </w:r>
      <w:proofErr w:type="gramStart"/>
      <w:r>
        <w:rPr>
          <w:color w:val="000000"/>
        </w:rPr>
        <w:t>polgármester</w:t>
      </w:r>
      <w:proofErr w:type="gramEnd"/>
    </w:p>
    <w:p w:rsidR="00CA70F8" w:rsidRPr="00CA70F8" w:rsidRDefault="00CA70F8" w:rsidP="00CA70F8">
      <w:pPr>
        <w:pStyle w:val="Szvegtrzs"/>
        <w:spacing w:before="240" w:after="240" w:line="240" w:lineRule="auto"/>
        <w:jc w:val="center"/>
      </w:pPr>
      <w:r>
        <w:rPr>
          <w:b/>
          <w:sz w:val="26"/>
          <w:szCs w:val="26"/>
        </w:rPr>
        <w:br w:type="page"/>
      </w:r>
    </w:p>
    <w:p w:rsidR="00A87C1F" w:rsidRDefault="0014005D" w:rsidP="001400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A87C1F" w:rsidRDefault="001400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 21.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A87C1F" w:rsidRDefault="0014005D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A87C1F" w:rsidRDefault="001400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87C1F" w:rsidRDefault="0014005D">
      <w:pPr>
        <w:pStyle w:val="Szvegtrzs"/>
        <w:spacing w:after="0" w:line="240" w:lineRule="auto"/>
        <w:jc w:val="both"/>
      </w:pPr>
      <w:r>
        <w:t>(1) A települési támogatás megállapításának, kifizetésének, folyósításának, valamint felhasználásának ellenőrzéséről szóló 10/2020. (II. 21.) önkormányzati rendelet 10. § (1) bekezdése helyébe a következő rendelkezés lép:</w:t>
      </w:r>
    </w:p>
    <w:p w:rsidR="00A87C1F" w:rsidRDefault="0014005D">
      <w:pPr>
        <w:pStyle w:val="Szvegtrzs"/>
        <w:spacing w:before="240" w:after="240" w:line="240" w:lineRule="auto"/>
        <w:jc w:val="both"/>
      </w:pPr>
      <w:r>
        <w:t>„(1) Fűtési támogatás: Fűtési támogatás adható annak a kérelmezőnek, akinek háztartásában az egy főre jutó havi jövedelem nem haladja meg az öregségi nyugdíj mindenkori legkisebb összegének 350%-át, egyszemélyes háztartás esetén az öregségi nyugdíjminimum 450%-át. Fűtési támogatás ugyanazon lakásra csak egy jogosultnak állapítható meg, függetlenül a lakásban élő személyek és háztartások számától.”</w:t>
      </w:r>
    </w:p>
    <w:p w:rsidR="00A87C1F" w:rsidRDefault="0014005D">
      <w:pPr>
        <w:pStyle w:val="Szvegtrzs"/>
        <w:spacing w:before="240" w:after="0" w:line="240" w:lineRule="auto"/>
        <w:jc w:val="both"/>
      </w:pPr>
      <w:r>
        <w:t>(2) A települési támogatás megállapításának, kifizetésének, folyósításának, valamint felhasználásának ellenőrzéséről szóló 10/2020. (II. 21.) önkormányzati rendelet 10. § (5) bekezdése helyébe a következő rendelkezés lép:</w:t>
      </w:r>
    </w:p>
    <w:p w:rsidR="00A87C1F" w:rsidRDefault="0014005D">
      <w:pPr>
        <w:pStyle w:val="Szvegtrzs"/>
        <w:spacing w:before="240" w:after="240" w:line="240" w:lineRule="auto"/>
        <w:jc w:val="both"/>
      </w:pPr>
      <w:r>
        <w:t>„(5) A támogatás összege távfűtés esetén 4.000,- Ft/hó, villanyfűtésnél 5.000,- Ft/hó, gázfűtésnél 7.000,- Ft/hó. Tűzifa igénylése esetén a támogatás mértéke 1,5 erdei m</w:t>
      </w:r>
      <w:r>
        <w:rPr>
          <w:vertAlign w:val="superscript"/>
        </w:rPr>
        <w:t xml:space="preserve">3 </w:t>
      </w:r>
      <w:r>
        <w:t>tűzifa.”</w:t>
      </w:r>
    </w:p>
    <w:p w:rsidR="00A87C1F" w:rsidRDefault="001400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87C1F" w:rsidRDefault="0014005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A87C1F" w:rsidRDefault="001400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87C1F" w:rsidRDefault="0014005D">
      <w:pPr>
        <w:pStyle w:val="Szvegtrzs"/>
        <w:spacing w:after="0" w:line="240" w:lineRule="auto"/>
        <w:jc w:val="both"/>
      </w:pPr>
      <w:r>
        <w:t>E rendelet 1. §</w:t>
      </w:r>
      <w:r w:rsidR="00844D08">
        <w:t>-</w:t>
      </w:r>
      <w:proofErr w:type="spellStart"/>
      <w:r w:rsidR="00844D08">
        <w:t>á</w:t>
      </w:r>
      <w:r>
        <w:t>ban</w:t>
      </w:r>
      <w:proofErr w:type="spellEnd"/>
      <w:r>
        <w:t xml:space="preserve"> foglaltakat kell alkalmazni a már folyamatban lévő ügyekben is.</w:t>
      </w:r>
    </w:p>
    <w:p w:rsidR="00A87C1F" w:rsidRDefault="00A87C1F"/>
    <w:p w:rsidR="00A87C1F" w:rsidRDefault="0014005D" w:rsidP="0014005D">
      <w:pPr>
        <w:pStyle w:val="Szvegtrzs"/>
        <w:spacing w:after="0" w:line="240" w:lineRule="auto"/>
        <w:jc w:val="both"/>
      </w:pPr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  <w:proofErr w:type="spellStart"/>
      <w:r>
        <w:t>sk</w:t>
      </w:r>
      <w:proofErr w:type="spellEnd"/>
      <w:r>
        <w:t>.</w:t>
      </w:r>
    </w:p>
    <w:p w:rsidR="0014005D" w:rsidRDefault="0014005D" w:rsidP="0014005D">
      <w:pPr>
        <w:pStyle w:val="Szvegtrzs"/>
        <w:spacing w:after="0" w:line="240" w:lineRule="auto"/>
        <w:jc w:val="both"/>
      </w:pPr>
      <w:r>
        <w:tab/>
        <w:t xml:space="preserve">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  <w:r>
        <w:tab/>
      </w:r>
    </w:p>
    <w:p w:rsidR="0014005D" w:rsidRDefault="0014005D">
      <w:pPr>
        <w:pStyle w:val="Szvegtrzs"/>
        <w:spacing w:after="159" w:line="240" w:lineRule="auto"/>
        <w:ind w:left="159" w:right="159"/>
        <w:jc w:val="center"/>
      </w:pPr>
    </w:p>
    <w:p w:rsidR="00A87C1F" w:rsidRDefault="0014005D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A87C1F" w:rsidRDefault="0014005D">
      <w:pPr>
        <w:pStyle w:val="Szvegtrzs"/>
        <w:spacing w:line="240" w:lineRule="auto"/>
        <w:jc w:val="both"/>
      </w:pPr>
      <w:r>
        <w:t xml:space="preserve">Az elmúlt időszakban bekövetkezett </w:t>
      </w:r>
      <w:proofErr w:type="gramStart"/>
      <w:r>
        <w:t>globális</w:t>
      </w:r>
      <w:proofErr w:type="gramEnd"/>
      <w:r>
        <w:t xml:space="preserve"> nyersanyag-, energiaárak megemelkedése, a kialakult inflációs helyzet indokolttá teszi a rászoruló családok, háztartások helyi szintű célzott és hatékony támogatását. Ezért indokolt a fűtési támogatás jogosultsági jövedelemhatárának és havi összegének megemelése, differenciálása az előterjesztésben foglaltak szerint.</w:t>
      </w:r>
    </w:p>
    <w:sectPr w:rsidR="00A87C1F" w:rsidSect="0014005D">
      <w:footerReference w:type="default" r:id="rId7"/>
      <w:pgSz w:w="11906" w:h="16838"/>
      <w:pgMar w:top="1134" w:right="1134" w:bottom="141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04" w:rsidRDefault="0014005D">
      <w:r>
        <w:separator/>
      </w:r>
    </w:p>
  </w:endnote>
  <w:endnote w:type="continuationSeparator" w:id="0">
    <w:p w:rsidR="00DC6C04" w:rsidRDefault="0014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1F" w:rsidRDefault="0014005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A70F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04" w:rsidRDefault="0014005D">
      <w:r>
        <w:separator/>
      </w:r>
    </w:p>
  </w:footnote>
  <w:footnote w:type="continuationSeparator" w:id="0">
    <w:p w:rsidR="00DC6C04" w:rsidRDefault="0014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F71"/>
    <w:multiLevelType w:val="multilevel"/>
    <w:tmpl w:val="18C23F1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1F"/>
    <w:rsid w:val="0014005D"/>
    <w:rsid w:val="00844D08"/>
    <w:rsid w:val="00A87C1F"/>
    <w:rsid w:val="00CA70F8"/>
    <w:rsid w:val="00D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FEF0"/>
  <w15:docId w15:val="{AEF9C704-B5D0-4FF2-ADC2-772A8C0A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CA70F8"/>
    <w:rPr>
      <w:rFonts w:ascii="Times New Roman" w:hAnsi="Times New Roman"/>
      <w:lang w:val="hu-HU"/>
    </w:rPr>
  </w:style>
  <w:style w:type="paragraph" w:styleId="Listaszerbekezds">
    <w:name w:val="List Paragraph"/>
    <w:basedOn w:val="Norml"/>
    <w:uiPriority w:val="34"/>
    <w:qFormat/>
    <w:rsid w:val="00CA70F8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  <w:style w:type="paragraph" w:customStyle="1" w:styleId="Standard">
    <w:name w:val="Standard"/>
    <w:uiPriority w:val="99"/>
    <w:rsid w:val="00CA70F8"/>
    <w:pPr>
      <w:autoSpaceDN w:val="0"/>
    </w:pPr>
    <w:rPr>
      <w:rFonts w:ascii="Times New Roman" w:eastAsia="Times New Roman" w:hAnsi="Times New Roman" w:cs="Times New Roman"/>
      <w:kern w:val="3"/>
      <w:sz w:val="26"/>
      <w:szCs w:val="20"/>
      <w:lang w:val="hu-HU" w:bidi="ar-SA"/>
    </w:rPr>
  </w:style>
  <w:style w:type="paragraph" w:customStyle="1" w:styleId="x2h-tartalom">
    <w:name w:val="x2h-tartalom"/>
    <w:basedOn w:val="Norml"/>
    <w:uiPriority w:val="99"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table" w:styleId="Rcsostblzat">
    <w:name w:val="Table Grid"/>
    <w:basedOn w:val="Normltblzat"/>
    <w:uiPriority w:val="59"/>
    <w:rsid w:val="00CA70F8"/>
    <w:p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val="hu-HU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4</cp:revision>
  <dcterms:created xsi:type="dcterms:W3CDTF">2022-08-18T06:33:00Z</dcterms:created>
  <dcterms:modified xsi:type="dcterms:W3CDTF">2022-08-18T07:41:00Z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